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BBBC6">
      <w:pPr>
        <w:jc w:val="center"/>
        <w:rPr>
          <w:rFonts w:hint="default" w:ascii="黑体" w:hAnsi="黑体" w:eastAsia="黑体" w:cs="黑体"/>
          <w:color w:val="000000"/>
          <w:sz w:val="44"/>
          <w:szCs w:val="44"/>
          <w:lang w:val="en-US" w:eastAsia="zh-CN"/>
        </w:rPr>
      </w:pPr>
      <w:r>
        <w:rPr>
          <w:rFonts w:hint="eastAsia" w:ascii="黑体" w:hAnsi="黑体" w:eastAsia="黑体" w:cs="黑体"/>
          <w:color w:val="000000"/>
          <w:sz w:val="44"/>
          <w:szCs w:val="44"/>
          <w:lang w:val="en-US" w:eastAsia="zh-CN"/>
        </w:rPr>
        <w:t>项目需求表</w:t>
      </w:r>
    </w:p>
    <w:tbl>
      <w:tblPr>
        <w:tblStyle w:val="7"/>
        <w:tblW w:w="82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6442"/>
      </w:tblGrid>
      <w:tr w14:paraId="253704F2">
        <w:trPr>
          <w:trHeight w:val="1007" w:hRule="atLeast"/>
          <w:jc w:val="center"/>
        </w:trPr>
        <w:tc>
          <w:tcPr>
            <w:tcW w:w="1803" w:type="dxa"/>
            <w:noWrap w:val="0"/>
            <w:vAlign w:val="center"/>
          </w:tcPr>
          <w:p w14:paraId="46D65039">
            <w:pPr>
              <w:jc w:val="center"/>
              <w:rPr>
                <w:rFonts w:hint="eastAsia" w:ascii="宋体" w:hAnsi="宋体" w:eastAsia="宋体" w:cs="宋体"/>
                <w:color w:val="000000"/>
                <w:sz w:val="30"/>
                <w:szCs w:val="30"/>
                <w:vertAlign w:val="baseline"/>
                <w:lang w:val="en-US" w:eastAsia="zh-CN"/>
              </w:rPr>
            </w:pPr>
            <w:r>
              <w:rPr>
                <w:rFonts w:hint="eastAsia" w:ascii="宋体" w:hAnsi="宋体" w:eastAsia="宋体" w:cs="宋体"/>
                <w:color w:val="000000"/>
                <w:sz w:val="30"/>
                <w:szCs w:val="30"/>
                <w:vertAlign w:val="baseline"/>
                <w:lang w:val="en-US" w:eastAsia="zh-CN"/>
              </w:rPr>
              <w:t>项目名称</w:t>
            </w:r>
          </w:p>
        </w:tc>
        <w:tc>
          <w:tcPr>
            <w:tcW w:w="6442" w:type="dxa"/>
            <w:noWrap w:val="0"/>
            <w:vAlign w:val="center"/>
          </w:tcPr>
          <w:p w14:paraId="1AE2F508">
            <w:pPr>
              <w:keepNext w:val="0"/>
              <w:keepLines w:val="0"/>
              <w:widowControl/>
              <w:suppressLineNumbers w:val="0"/>
              <w:jc w:val="left"/>
              <w:rPr>
                <w:rFonts w:hint="default"/>
                <w:color w:val="000000"/>
                <w:sz w:val="30"/>
                <w:szCs w:val="30"/>
                <w:vertAlign w:val="baseline"/>
                <w:lang w:val="en-US" w:eastAsia="zh-CN"/>
              </w:rPr>
            </w:pPr>
            <w:r>
              <w:rPr>
                <w:rFonts w:hint="eastAsia" w:ascii="宋体" w:hAnsi="宋体" w:eastAsia="宋体" w:cs="宋体"/>
                <w:sz w:val="30"/>
                <w:szCs w:val="30"/>
                <w:vertAlign w:val="baseline"/>
                <w:lang w:val="en-US" w:eastAsia="zh-CN"/>
              </w:rPr>
              <w:t>信息安全运维服务</w:t>
            </w:r>
          </w:p>
        </w:tc>
      </w:tr>
      <w:tr w14:paraId="770A27FD">
        <w:trPr>
          <w:trHeight w:val="4036" w:hRule="atLeast"/>
          <w:jc w:val="center"/>
        </w:trPr>
        <w:tc>
          <w:tcPr>
            <w:tcW w:w="8245" w:type="dxa"/>
            <w:gridSpan w:val="2"/>
            <w:noWrap w:val="0"/>
            <w:vAlign w:val="top"/>
          </w:tcPr>
          <w:p w14:paraId="12FB5D02">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需求内容：</w:t>
            </w:r>
          </w:p>
          <w:p w14:paraId="2C8F4625">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一：漏洞扫描服务，包括以下内容：</w:t>
            </w:r>
          </w:p>
          <w:p w14:paraId="16FBEBA1">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1)安全服务商对服务范围内的IT资产提供不少于2次/年的漏洞扫描服务，包括但不限于服务器、网络设备、网络安全设备、操作系统、数据库、应用系统的脆弱性进行安全评估，并提交《漏洞扫描报告》；</w:t>
            </w:r>
          </w:p>
          <w:p w14:paraId="6555F674">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2)漏洞检测服务内容包括但不限于端口扫描、系统扫描、漏洞扫描，尽可能早地发现安全漏洞并进行修补，以最大可能的消除安全隐患；</w:t>
            </w:r>
          </w:p>
          <w:p w14:paraId="174FC734">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3)安全服务商提供的漏洞检测服务时，须拥有合法的漏洞管理工具使用权，具备自主研发的漏洞扫描工具并有著作权，须提供自主著作权证明。且该工具能够支持手动爬行功能，解决业务逻辑复杂的URL无法获取的问题，增加扫描范围的全面性。</w:t>
            </w:r>
          </w:p>
          <w:p w14:paraId="37B14C32">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二：7*24小时远程安全监测告警服务，包括以下内容：</w:t>
            </w:r>
          </w:p>
          <w:p w14:paraId="5094245B">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在运营服务期内提供7x24小时的安全威胁监测服务，持续监测网络内的安全隐患情况并进行分析，包括对外部网络攻击网络漏洞利用情况、恶意软件活动情况、以及内网安全情况，对安全监测发现的安全隐患及高危事件在服务规定时间内进行通告，同时能够每日同步安全状况。</w:t>
            </w:r>
          </w:p>
          <w:p w14:paraId="12AEA8EE">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2)运营服务期内基于院内的态势感知平台提供服务资产识别与梳理服务，包括但不限于服务资产IP地址、端口、资产类型、操作系统类型及版本等属性，同时能够分析现有资产漏洞信息，包括但不限于SQL注入、XSS、命令注入、反序列化、越权访问等漏洞信息，同时提供可落地的专业漏洞修复指导。</w:t>
            </w:r>
          </w:p>
          <w:p w14:paraId="70A746A9">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3)基于院内态势感知平台，持续监测院内漏洞利用情况，对监测发现的安全漏洞进行分析验证，同时持续跟踪整改情况。</w:t>
            </w:r>
          </w:p>
          <w:p w14:paraId="618F71F8">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4)基于院内态势感知平台的资产和漏洞情况，结合威胁情报信息，提供资产漏洞预警服务。</w:t>
            </w:r>
          </w:p>
          <w:p w14:paraId="39D48643">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5)要求能够在运营服务期内提供院内态势感知平台的设备巡检和维护，巡检包括但不限于本地平台的CPU、存储情况、系统事件、授权情况、功能模块以及本地探针的运行状况和特征库版本，并发现设备故障后，能够协调原厂售后服务并跟踪直至设备故障修复。</w:t>
            </w:r>
          </w:p>
          <w:p w14:paraId="7AA835EA">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6)安全事件快速响应，基于院内态势感知平台对各类安全数据及日志数据进行关联分析与深入挖掘，及时发现各类安全事件并通知院方相关人员，输出《安全事件报告》，同时协助我院开展通报、处置等响应动作。</w:t>
            </w:r>
          </w:p>
          <w:p w14:paraId="14CDDBA3">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7)提供每年四次对具体安全事件的深度分析，包括攻击复现、追踪溯源定位攻击者等内容，从多维度对安全事件进行分析，精准定位威胁根源。针对重点高危事件输出《事件深度分析报告》。</w:t>
            </w:r>
          </w:p>
          <w:p w14:paraId="39E216E6">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8)提供事件跟踪管理服务，通过分析研判确认后的安全事件，对事件处置过程进行跟踪形成闭环，每周输出运营周报。</w:t>
            </w:r>
          </w:p>
          <w:p w14:paraId="0B8DE0B9">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9)提供每月主动分析服务，服务人员定期综合所发现的安全事件、攻击情况进行主动分析，包括但不限于告警趋势分析、威胁类型分布分析、高威胁攻击者分析，同时进行场景化安全分析，包括APT告警分析、恶意软件情况分析、网络攻击情况分析、WebShell情况分析、内网安全情况分析、数据库安全情况分析、爆破行为分析、弱口令分析等，每月输出运营月度报告。</w:t>
            </w:r>
          </w:p>
          <w:p w14:paraId="644FF654">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10)提供定期的运营汇报解读服务，综合所发现的安全事件结合医院网络环境，评价医院侧整体网络安全态势，同时输出问题事件的分析说明，并给出针对性建议和方案，让医院更加了解网络安全现状和当前安全趋势。</w:t>
            </w:r>
          </w:p>
          <w:p w14:paraId="756A5C83">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11)运营问题解答服务，提供对于院内态势感知平台的使用故障问题、平台漏报/误报、安全事件分析问题提供原厂工程师处理和跟踪闭环。</w:t>
            </w:r>
          </w:p>
          <w:p w14:paraId="74D795F8">
            <w:pPr>
              <w:jc w:val="both"/>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12）提供防火墙联动封堵，在双方确认后从运营平台下发封堵策略并在相关防火墙上生成有效配置。</w:t>
            </w:r>
          </w:p>
          <w:p w14:paraId="21E0D682">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该项安全服务需要基于院内态势感知平台，搭配远程+本地化服务模式，全天候向我院提供态势感知平台的巡检、资产管理、规则优化等基础运营服务，威胁分析、事件管理等威胁分析检测服务，威胁预警服务，协助处置、安全评估等主动响应服务，技术支持、阶段性工作汇报等安全顾问服务。</w:t>
            </w:r>
          </w:p>
          <w:p w14:paraId="32BECE4F">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三：应急响应服务；</w:t>
            </w:r>
          </w:p>
          <w:p w14:paraId="4EE4E686">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当发生安全故障时，要求能够立即给予医院技术协助，提供电话响应或即时通讯或邮件等方式解疑答惑，必要时1小时内到达现场。</w:t>
            </w:r>
          </w:p>
          <w:p w14:paraId="68D44B13">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 xml:space="preserve">  输出：《应急响应报告》</w:t>
            </w:r>
          </w:p>
          <w:p w14:paraId="48D567B2">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四：安全意识培训（1次/年）；</w:t>
            </w:r>
          </w:p>
          <w:p w14:paraId="2CBB61E1">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每年1次提供面向科室管理员、信息技术人员以及全院新员工的定制化安全意识培训服务。</w:t>
            </w:r>
          </w:p>
          <w:p w14:paraId="775BD16C">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五：渗透测试服务（不多于20个业务系统）；</w:t>
            </w:r>
          </w:p>
          <w:p w14:paraId="330DD609">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对服务范围内的信息系统提供1次渗透测试服务，并提交《安全渗透测试报告》，包括但不限于以下服务内容：</w:t>
            </w:r>
          </w:p>
          <w:p w14:paraId="7407B4D8">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(1)评估目标系统的基本特征信息（如系统名 称、版本、管理入口、网络指纹等）是否可以被远程探测和获取；</w:t>
            </w:r>
          </w:p>
          <w:p w14:paraId="29B1421A">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(2)评估目标系统是否存在注入攻击漏洞（如SQL注入、命令注入、LDAP注入、JSON注入、Cookie注入、SSI注入、XML注入、XPath注入等）；</w:t>
            </w:r>
          </w:p>
          <w:p w14:paraId="00DA46F8">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(3)评估攻击者是否可以非法读取、篡改、添加、删除未授权数据；</w:t>
            </w:r>
          </w:p>
          <w:p w14:paraId="65F42C11">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(4)评估目标系统是否存在跨站脚本攻击（XSS）漏洞（如存储式跨站攻击、反射型跨站脚本攻击、基于DOM的XSS攻击、FLASH跨站脚本等），评估攻击者是否可以窃取用户会话、窃取敏感信息、重写WEB页面、重定向到恶意网站等；</w:t>
            </w:r>
          </w:p>
          <w:p w14:paraId="2877514B">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(5)评估目标系统的相关安全认证及会话管理是否存在漏洞，评估攻击者是否可以窃取到密码、密钥、会话授权、用户身份等；</w:t>
            </w:r>
          </w:p>
          <w:p w14:paraId="03DDBA50">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(6)评估目标系统是否存在对不安全对象的直接引用，评估攻击者是否可以利用引用对象访问未授权的数据；</w:t>
            </w:r>
          </w:p>
          <w:p w14:paraId="533DE2D5">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(7)评估目标系统是否存在安全配置错误威胁（如应用程序、系统框架、应用程序服务、页面服务、数据库服务、运行平台等配置是否安全合理）；</w:t>
            </w:r>
          </w:p>
          <w:p w14:paraId="4107E34D">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(8)评估目标系统加密存储方面是否存在不安全因素（如应用程序是否利用适当的加密或者散列手段来妥善保护信用卡、身份验证信息等），评估攻击者是否可以窃取或者非法修改这些受保护的敏感数据；</w:t>
            </w:r>
          </w:p>
          <w:p w14:paraId="07AED936">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(9)评估目标系统是否限制访问者的URL，评估攻击者是否可以通过伪造URL的方式随意访问隐藏页面；</w:t>
            </w:r>
          </w:p>
          <w:p w14:paraId="2782C282">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(10)评估目标系统是否存在缓冲区溢出漏洞，评估攻击者是否可以利用缓冲区溢出漏洞进行非法授权访问、获取权限、破坏可用性（如导致程序运行失败、系统关机、重新启动等）等威胁操作；</w:t>
            </w:r>
          </w:p>
          <w:p w14:paraId="6CACDEFE">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(11)评估目标系统是否存在业务逻辑层面缺陷；</w:t>
            </w:r>
          </w:p>
          <w:p w14:paraId="60AD783B">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(12)评估目标系统是对未经验证的访问请求重新指向或转发至其它页面是否有正确的验证机制，评估攻击者是否可以将访问请求指向到钓鱼类或者其它恶意网站等未经授权的页面。</w:t>
            </w:r>
          </w:p>
          <w:p w14:paraId="214E382E">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13）提供源代码缺陷分析服务。在必要时投标人需提供代码检测工具，过程中使用的服务工具能够对网站或业务系统web源代码进行扫描，检查代码中的缺陷及合规情况，支持C/C++、Object-C、C#、Java、PHP、JSP、Swift、JavaScript、SQL、Python、NodeJS等主流编程语言开发的软件源代码的缺陷检测。服务工具应为国产正规产品，且在SQL语言缺陷检测中针对API误用、代码注入、跨站脚本、输入验证、异常处理等检测类别中检测结果漏报个数为0。</w:t>
            </w:r>
          </w:p>
          <w:p w14:paraId="0178825E">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14）所采用的服务工具支持C#语言缺陷检测，针对Cookie未经过SSL加密、函数返回值缺少Null检查、使用==判断空字符串、未检查返回值、使用系统输出流记录日志、循环中拼接字符串、数据库访问控制、弱加密、硬编码密码漏报个数均为0。</w:t>
            </w:r>
          </w:p>
          <w:p w14:paraId="6C790FCD">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六：网络安全通告服务</w:t>
            </w:r>
          </w:p>
          <w:p w14:paraId="413F0FD3">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服务期内，能够第一时间为我医院提供最新发生的网络安全风险通告和对应的有效解决方案，提供有效通告推送服务接收入口。</w:t>
            </w:r>
          </w:p>
          <w:p w14:paraId="268FF5D4">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七：新上线业务系统进行安全评估（不超过5个新业务系统）</w:t>
            </w:r>
          </w:p>
          <w:p w14:paraId="3891519A">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1）通过安全基线检查工作，发现本次业务系统所承载的服务器、网络设备、安全设备等IT设备自身存在的安全漏洞和薄弱环节，提前防范安全事件发生，避免信息系统脆弱性被非法利用，增强信息系统安全防范能力，保障业务的可持续性。</w:t>
            </w:r>
          </w:p>
          <w:p w14:paraId="2610DB79">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2）采用安全扫描评估，及时发现信息系统中存在的安全漏洞，通过对Windows、Linux服务器及安全设备漏洞的整改，及时地消除安全漏洞可能带来的安全风险。</w:t>
            </w:r>
          </w:p>
          <w:p w14:paraId="1CD4A635">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3）由渗透测试工程师采用人工黑盒的方式对用户的应用系统进行模拟攻击测试。主要测试方法包括：信息收集、端口扫描、远程溢出、口令猜测、本地溢出、客户端攻击、漏洞扫描、web脚本渗透、B/S或C/S应用程序测试等。</w:t>
            </w:r>
          </w:p>
          <w:p w14:paraId="58F4B0E6">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4）评估工具支持对业务主机上的URL地址进行梳理，可通过设置URL关键、POST关键字、手动添加URL的方式进行URL发现。</w:t>
            </w:r>
          </w:p>
          <w:p w14:paraId="3F5AD084">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5）评估工具支持从服务器、进程维度监控分析进程外连情况，外连IP地址及域名，并提供告警。</w:t>
            </w:r>
          </w:p>
          <w:p w14:paraId="03F595C3">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6）要求所采用的服务工具需支持基线分析功能，对数据进行基线学习生成行为基线，通过基线比对方式产生异常行为告警。基线分析模型至少支持日志过滤、行为统计、基线学习、基线比较4类计算单元。</w:t>
            </w:r>
          </w:p>
          <w:p w14:paraId="31A20763">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7）所采用的服务工具支持针对内部IP分析，支持集中展示该IP相关的威胁信息、脆弱性信息、暴露面、登录分析、外连分析数据等。</w:t>
            </w:r>
          </w:p>
          <w:p w14:paraId="3FDCF016">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8）所采用的服务工具对于域名分析，支持集中展示该域名相关的鉴定结果、威胁情报信息、访问源统计、解析结果、首次出现时间、访问趋势等。</w:t>
            </w:r>
          </w:p>
          <w:p w14:paraId="602D3D52">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9）所采用的服务工具能够提供高效的自动化渗透测试能力，测试工具完成自动化渗透测试功能认定包括：“支持探测SQL注入、XXE、XSS、任意文件下载、任意文件操作、信息泄露、弱口令、本地文件包含、目录遍历、命令执行、错误配置等漏洞;支持部分远程执行、文件上传类漏洞自动化利用，可以自动获取反弹shell或者上传webshell” 。</w:t>
            </w:r>
          </w:p>
          <w:p w14:paraId="60D62C8A">
            <w:pPr>
              <w:jc w:val="both"/>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八：院内堡垒机产品</w:t>
            </w:r>
            <w:r>
              <w:rPr>
                <w:rFonts w:hint="default" w:ascii="宋体" w:hAnsi="宋体" w:eastAsia="宋体" w:cs="宋体"/>
                <w:sz w:val="30"/>
                <w:szCs w:val="30"/>
                <w:vertAlign w:val="baseline"/>
                <w:lang w:val="en-US" w:eastAsia="zh-CN"/>
              </w:rPr>
              <w:t>资源授权许可</w:t>
            </w:r>
            <w:r>
              <w:rPr>
                <w:rFonts w:hint="eastAsia" w:ascii="宋体" w:hAnsi="宋体" w:eastAsia="宋体" w:cs="宋体"/>
                <w:sz w:val="30"/>
                <w:szCs w:val="30"/>
                <w:vertAlign w:val="baseline"/>
                <w:lang w:val="en-US" w:eastAsia="zh-CN"/>
              </w:rPr>
              <w:t>扩容服务</w:t>
            </w:r>
          </w:p>
          <w:p w14:paraId="470AAAC8">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承诺本次为</w:t>
            </w:r>
            <w:r>
              <w:rPr>
                <w:rFonts w:hint="default" w:ascii="宋体" w:hAnsi="宋体" w:eastAsia="宋体" w:cs="宋体"/>
                <w:sz w:val="30"/>
                <w:szCs w:val="30"/>
                <w:vertAlign w:val="baseline"/>
                <w:lang w:val="en-US" w:eastAsia="zh-CN"/>
              </w:rPr>
              <w:t>我院</w:t>
            </w:r>
            <w:r>
              <w:rPr>
                <w:rFonts w:hint="eastAsia" w:ascii="宋体" w:hAnsi="宋体" w:eastAsia="宋体" w:cs="宋体"/>
                <w:sz w:val="30"/>
                <w:szCs w:val="30"/>
                <w:vertAlign w:val="baseline"/>
                <w:lang w:val="en-US" w:eastAsia="zh-CN"/>
              </w:rPr>
              <w:t>目前在用的内网堡垒机</w:t>
            </w:r>
            <w:r>
              <w:rPr>
                <w:rFonts w:hint="default" w:ascii="宋体" w:hAnsi="宋体" w:eastAsia="宋体" w:cs="宋体"/>
                <w:sz w:val="30"/>
                <w:szCs w:val="30"/>
                <w:vertAlign w:val="baseline"/>
                <w:lang w:val="en-US" w:eastAsia="zh-CN"/>
              </w:rPr>
              <w:t>资源授权许可</w:t>
            </w:r>
            <w:r>
              <w:rPr>
                <w:rFonts w:hint="eastAsia" w:ascii="宋体" w:hAnsi="宋体" w:eastAsia="宋体" w:cs="宋体"/>
                <w:sz w:val="30"/>
                <w:szCs w:val="30"/>
                <w:vertAlign w:val="baseline"/>
                <w:lang w:val="en-US" w:eastAsia="zh-CN"/>
              </w:rPr>
              <w:t>提供50个点扩容服务，提供版本安全加固服务。</w:t>
            </w:r>
          </w:p>
          <w:p w14:paraId="5D93C3A7">
            <w:pPr>
              <w:jc w:val="both"/>
              <w:rPr>
                <w:rFonts w:hint="eastAsia"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九：院内云锁椒图维保服务</w:t>
            </w:r>
          </w:p>
          <w:p w14:paraId="41D2F594">
            <w:pPr>
              <w:jc w:val="both"/>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承诺本次为</w:t>
            </w:r>
            <w:r>
              <w:rPr>
                <w:rFonts w:hint="default" w:ascii="宋体" w:hAnsi="宋体" w:eastAsia="宋体" w:cs="宋体"/>
                <w:sz w:val="30"/>
                <w:szCs w:val="30"/>
                <w:vertAlign w:val="baseline"/>
                <w:lang w:val="en-US" w:eastAsia="zh-CN"/>
              </w:rPr>
              <w:t>我院</w:t>
            </w:r>
            <w:r>
              <w:rPr>
                <w:rFonts w:hint="eastAsia" w:ascii="宋体" w:hAnsi="宋体" w:eastAsia="宋体" w:cs="宋体"/>
                <w:sz w:val="30"/>
                <w:szCs w:val="30"/>
                <w:vertAlign w:val="baseline"/>
                <w:lang w:val="en-US" w:eastAsia="zh-CN"/>
              </w:rPr>
              <w:t>目前在用的云锁服务器安全管理系统V8.0提供一年的授权原厂续保升级</w:t>
            </w:r>
            <w:bookmarkStart w:id="0" w:name="_GoBack"/>
            <w:bookmarkEnd w:id="0"/>
            <w:r>
              <w:rPr>
                <w:rFonts w:hint="eastAsia" w:ascii="宋体" w:hAnsi="宋体" w:eastAsia="宋体" w:cs="宋体"/>
                <w:sz w:val="30"/>
                <w:szCs w:val="30"/>
                <w:vertAlign w:val="baseline"/>
                <w:lang w:val="en-US" w:eastAsia="zh-CN"/>
              </w:rPr>
              <w:t>服务。</w:t>
            </w:r>
          </w:p>
        </w:tc>
      </w:tr>
      <w:tr w14:paraId="70FAC193">
        <w:trPr>
          <w:trHeight w:val="1056" w:hRule="atLeast"/>
          <w:jc w:val="center"/>
        </w:trPr>
        <w:tc>
          <w:tcPr>
            <w:tcW w:w="1803" w:type="dxa"/>
            <w:noWrap w:val="0"/>
            <w:vAlign w:val="center"/>
          </w:tcPr>
          <w:p w14:paraId="74FE69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000000"/>
                <w:sz w:val="30"/>
                <w:szCs w:val="30"/>
                <w:vertAlign w:val="baseline"/>
                <w:lang w:val="en-US" w:eastAsia="zh-CN"/>
              </w:rPr>
            </w:pPr>
            <w:r>
              <w:rPr>
                <w:rFonts w:hint="eastAsia" w:ascii="宋体" w:hAnsi="宋体" w:eastAsia="宋体" w:cs="宋体"/>
                <w:color w:val="000000"/>
                <w:sz w:val="30"/>
                <w:szCs w:val="30"/>
                <w:vertAlign w:val="baseline"/>
                <w:lang w:val="en-US" w:eastAsia="zh-CN"/>
              </w:rPr>
              <w:t>使用科室</w:t>
            </w:r>
            <w:r>
              <w:rPr>
                <w:rFonts w:hint="eastAsia" w:ascii="宋体" w:hAnsi="宋体" w:eastAsia="宋体" w:cs="宋体"/>
                <w:color w:val="000000"/>
                <w:sz w:val="30"/>
                <w:szCs w:val="30"/>
                <w:vertAlign w:val="baseline"/>
                <w:lang w:val="en-US" w:eastAsia="zh-CN"/>
              </w:rPr>
              <w:br w:type="textWrapping"/>
            </w:r>
            <w:r>
              <w:rPr>
                <w:rFonts w:hint="eastAsia" w:ascii="宋体" w:hAnsi="宋体" w:eastAsia="宋体" w:cs="宋体"/>
                <w:color w:val="000000"/>
                <w:sz w:val="30"/>
                <w:szCs w:val="30"/>
                <w:vertAlign w:val="baseline"/>
                <w:lang w:val="en-US" w:eastAsia="zh-CN"/>
              </w:rPr>
              <w:t>制定需求并集体确认</w:t>
            </w:r>
          </w:p>
        </w:tc>
        <w:tc>
          <w:tcPr>
            <w:tcW w:w="6442" w:type="dxa"/>
            <w:noWrap w:val="0"/>
            <w:vAlign w:val="center"/>
          </w:tcPr>
          <w:p w14:paraId="3DBA6A68">
            <w:pPr>
              <w:jc w:val="center"/>
              <w:rPr>
                <w:rFonts w:hint="eastAsia" w:ascii="宋体" w:hAnsi="宋体" w:eastAsia="宋体" w:cs="宋体"/>
                <w:color w:val="000000"/>
                <w:sz w:val="30"/>
                <w:szCs w:val="30"/>
                <w:vertAlign w:val="baseline"/>
                <w:lang w:val="en-US" w:eastAsia="zh-CN"/>
              </w:rPr>
            </w:pPr>
          </w:p>
        </w:tc>
      </w:tr>
      <w:tr w14:paraId="52E1249E">
        <w:trPr>
          <w:trHeight w:val="978" w:hRule="atLeast"/>
          <w:jc w:val="center"/>
        </w:trPr>
        <w:tc>
          <w:tcPr>
            <w:tcW w:w="1803" w:type="dxa"/>
            <w:noWrap w:val="0"/>
            <w:vAlign w:val="center"/>
          </w:tcPr>
          <w:p w14:paraId="007E99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000000"/>
                <w:sz w:val="30"/>
                <w:szCs w:val="30"/>
                <w:vertAlign w:val="baseline"/>
                <w:lang w:val="en-US" w:eastAsia="zh-CN"/>
              </w:rPr>
            </w:pPr>
            <w:r>
              <w:rPr>
                <w:rFonts w:hint="eastAsia" w:ascii="宋体" w:hAnsi="宋体" w:eastAsia="宋体" w:cs="宋体"/>
                <w:color w:val="000000"/>
                <w:sz w:val="30"/>
                <w:szCs w:val="30"/>
                <w:vertAlign w:val="baseline"/>
                <w:lang w:val="en-US" w:eastAsia="zh-CN"/>
              </w:rPr>
              <w:t>信息工程师审核</w:t>
            </w:r>
          </w:p>
        </w:tc>
        <w:tc>
          <w:tcPr>
            <w:tcW w:w="6442" w:type="dxa"/>
            <w:noWrap w:val="0"/>
            <w:vAlign w:val="center"/>
          </w:tcPr>
          <w:p w14:paraId="13A12F25">
            <w:pPr>
              <w:jc w:val="center"/>
              <w:rPr>
                <w:rFonts w:hint="eastAsia" w:ascii="宋体" w:hAnsi="宋体" w:eastAsia="宋体" w:cs="宋体"/>
                <w:color w:val="000000"/>
                <w:sz w:val="30"/>
                <w:szCs w:val="30"/>
                <w:vertAlign w:val="baseline"/>
                <w:lang w:val="en-US" w:eastAsia="zh-CN"/>
              </w:rPr>
            </w:pPr>
          </w:p>
        </w:tc>
      </w:tr>
    </w:tbl>
    <w:p w14:paraId="4C18BE1C">
      <w:pPr>
        <w:spacing w:line="240" w:lineRule="auto"/>
        <w:rPr>
          <w:rFonts w:hint="eastAsia" w:ascii="黑体" w:hAnsi="黑体" w:eastAsia="黑体" w:cs="黑体"/>
          <w:color w:val="000000"/>
          <w:kern w:val="0"/>
          <w:szCs w:val="32"/>
          <w:lang w:val="en-US" w:eastAsia="zh-CN"/>
        </w:rPr>
      </w:pPr>
    </w:p>
    <w:p w14:paraId="2D26FE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仿宋_GB2312">
    <w:panose1 w:val="02010609030101010101"/>
    <w:charset w:val="86"/>
    <w:family w:val="auto"/>
    <w:pitch w:val="default"/>
    <w:sig w:usb0="00000001" w:usb1="080E0000" w:usb2="00000000" w:usb3="00000000" w:csb0="00040000" w:csb1="00000000"/>
  </w:font>
  <w:font w:name="Calibri Light">
    <w:altName w:val="Helvetica Neue"/>
    <w:panose1 w:val="020F0302020204030204"/>
    <w:charset w:val="00"/>
    <w:family w:val="auto"/>
    <w:pitch w:val="default"/>
    <w:sig w:usb0="00000000" w:usb1="00000000" w:usb2="00000009" w:usb3="00000000" w:csb0="200001FF"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B966CA"/>
    <w:rsid w:val="16790EF5"/>
    <w:rsid w:val="1D7016C0"/>
    <w:rsid w:val="37B58737"/>
    <w:rsid w:val="3BBB9C15"/>
    <w:rsid w:val="3F5B3A7A"/>
    <w:rsid w:val="3FF43DA9"/>
    <w:rsid w:val="4FBF22E5"/>
    <w:rsid w:val="4FEB61B3"/>
    <w:rsid w:val="6DB966CA"/>
    <w:rsid w:val="6E354087"/>
    <w:rsid w:val="7DF691C2"/>
    <w:rsid w:val="7F7BB4B6"/>
    <w:rsid w:val="B7F34F66"/>
    <w:rsid w:val="B7FFC28D"/>
    <w:rsid w:val="DEBEBFE9"/>
    <w:rsid w:val="FBFD3C53"/>
    <w:rsid w:val="FCEEBB61"/>
    <w:rsid w:val="FDFE77C4"/>
    <w:rsid w:val="FED6A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3">
    <w:name w:val="heading 3"/>
    <w:basedOn w:val="1"/>
    <w:next w:val="1"/>
    <w:unhideWhenUsed/>
    <w:qFormat/>
    <w:uiPriority w:val="9"/>
    <w:pPr>
      <w:keepNext/>
      <w:keepLines/>
      <w:spacing w:before="160" w:after="80"/>
      <w:outlineLvl w:val="2"/>
    </w:pPr>
    <w:rPr>
      <w:rFonts w:asciiTheme="majorHAnsi" w:hAnsiTheme="majorHAnsi" w:eastAsiaTheme="majorEastAsia" w:cstheme="majorBidi"/>
      <w:color w:val="2E54A1" w:themeColor="accent1" w:themeShade="BF"/>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Normal (Web)"/>
    <w:basedOn w:val="1"/>
    <w:next w:val="5"/>
    <w:qFormat/>
    <w:uiPriority w:val="0"/>
    <w:pPr>
      <w:spacing w:before="100" w:beforeAutospacing="1" w:after="100" w:afterAutospacing="1"/>
      <w:jc w:val="left"/>
    </w:pPr>
    <w:rPr>
      <w:kern w:val="0"/>
      <w:sz w:val="24"/>
    </w:rPr>
  </w:style>
  <w:style w:type="paragraph" w:customStyle="1" w:styleId="5">
    <w:name w:val="样式 标题 3 + (中文) 黑体 小四 非加粗 段前: 7.8 磅 段后: 0 磅 行距: 固定值 20 磅"/>
    <w:basedOn w:val="3"/>
    <w:qFormat/>
    <w:uiPriority w:val="0"/>
    <w:pPr>
      <w:spacing w:before="0" w:after="0" w:line="400" w:lineRule="exact"/>
    </w:pPr>
    <w:rPr>
      <w:rFonts w:ascii="Times New Roman" w:hAnsi="Times New Roman" w:eastAsia="黑体" w:cs="宋体"/>
      <w:kern w:val="2"/>
      <w:sz w:val="24"/>
      <w:szCs w:val="20"/>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表格文字"/>
    <w:basedOn w:val="1"/>
    <w:qFormat/>
    <w:uiPriority w:val="99"/>
    <w:pPr>
      <w:adjustRightInd w:val="0"/>
      <w:spacing w:line="420" w:lineRule="atLeast"/>
      <w:jc w:val="left"/>
      <w:textAlignment w:val="baseline"/>
    </w:pPr>
    <w:rPr>
      <w:kern w:val="0"/>
      <w:szCs w:val="20"/>
    </w:rPr>
  </w:style>
  <w:style w:type="paragraph" w:styleId="10">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3574</Words>
  <Characters>3778</Characters>
  <Lines>0</Lines>
  <Paragraphs>0</Paragraphs>
  <TotalTime>1</TotalTime>
  <ScaleCrop>false</ScaleCrop>
  <LinksUpToDate>false</LinksUpToDate>
  <CharactersWithSpaces>3782</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2026-09-03T01:37:00Z</dcterms:created>
  <dc:creator>吴灵菲</dc:creator>
  <cp:lastModifiedBy>Admin</cp:lastModifiedBy>
  <cp:lastPrinted>2026-09-08T00:34:00Z</cp:lastPrinted>
  <dcterms:modified xsi:type="dcterms:W3CDTF">2026-09-27T18:34:51Z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298D1425F1D54529A263EF007E02D37F_13</vt:lpwstr>
  </property>
  <property fmtid="{D5CDD505-2E9C-101B-9397-08002B2CF9AE}" pid="4" name="KSOTemplateDocerSaveRecord">
    <vt:lpwstr>eyJoZGlkIjoiZGM5ZjFmYTVlYWMwNWJjMGJhMGZhN2QxYzg5OTJmMTUiLCJ1c2VySWQiOiIzNTkwOTM2ODEifQ==</vt:lpwstr>
  </property>
</Properties>
</file>