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信息化绩效系统软件</w:t>
            </w:r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7859BF66">
            <w:pPr>
              <w:spacing w:line="360" w:lineRule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tbl>
            <w:tblPr>
              <w:tblStyle w:val="4"/>
              <w:tblW w:w="4934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1"/>
              <w:gridCol w:w="7835"/>
              <w:gridCol w:w="907"/>
            </w:tblGrid>
            <w:tr w14:paraId="4FEB7B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3237F344">
                  <w:pPr>
                    <w:pStyle w:val="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4046" w:type="pct"/>
                  <w:vAlign w:val="center"/>
                </w:tcPr>
                <w:p w14:paraId="277C4C8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名称</w:t>
                  </w:r>
                  <w:bookmarkStart w:id="1" w:name="_GoBack"/>
                  <w:bookmarkEnd w:id="1"/>
                </w:p>
              </w:tc>
              <w:tc>
                <w:tcPr>
                  <w:tcW w:w="469" w:type="pct"/>
                  <w:vAlign w:val="center"/>
                </w:tcPr>
                <w:p w14:paraId="66907BD5">
                  <w:pPr>
                    <w:pStyle w:val="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 w14:paraId="246970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17E76DB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一、医院绩效管理咨询服务</w:t>
                  </w:r>
                </w:p>
              </w:tc>
            </w:tr>
            <w:tr w14:paraId="760FF0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C0C03F4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046" w:type="pct"/>
                  <w:vAlign w:val="center"/>
                </w:tcPr>
                <w:p w14:paraId="7400A478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临床医生绩效评价方案设计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57B2811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CCF56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C7EDD58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4046" w:type="pct"/>
                  <w:vAlign w:val="center"/>
                </w:tcPr>
                <w:p w14:paraId="09FE6CE3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临床护理绩效评价方案设计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00A3F3DF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31EA02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2930983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4046" w:type="pct"/>
                  <w:vAlign w:val="center"/>
                </w:tcPr>
                <w:p w14:paraId="484C029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医技科室绩效评价方案设计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270CD23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15E388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96A91D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4046" w:type="pct"/>
                  <w:vAlign w:val="center"/>
                </w:tcPr>
                <w:p w14:paraId="0868D074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 w:eastAsia="宋体" w:cs="宋体"/>
                      <w:szCs w:val="24"/>
                    </w:rPr>
                    <w:t>挂号收费、出住院处、药学、供应室等科室绩效评价方案设计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3811973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1E0422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507D0E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4046" w:type="pct"/>
                  <w:vAlign w:val="center"/>
                </w:tcPr>
                <w:p w14:paraId="27E6C0C2">
                  <w:pPr>
                    <w:pStyle w:val="9"/>
                    <w:ind w:firstLine="480"/>
                    <w:rPr>
                      <w:rFonts w:hint="eastAsia" w:eastAsia="宋体" w:cs="宋体"/>
                      <w:szCs w:val="24"/>
                    </w:rPr>
                  </w:pPr>
                  <w:r>
                    <w:rPr>
                      <w:rFonts w:hint="eastAsia" w:eastAsia="宋体" w:cs="宋体"/>
                      <w:szCs w:val="24"/>
                    </w:rPr>
                    <w:t>手术专项绩效评价方案设计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5A7D8FD7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682A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1FA2770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4046" w:type="pct"/>
                </w:tcPr>
                <w:p w14:paraId="36BCD42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科室直接成本管控方案设计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0522E39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6EC30B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D62717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4046" w:type="pct"/>
                </w:tcPr>
                <w:p w14:paraId="44A7A04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核算单元嵌入关键考核指标方案设计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6DBC603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4C2996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4B9FBCE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046" w:type="pct"/>
                </w:tcPr>
                <w:p w14:paraId="4A1DB95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二次分配指导意见方案设计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715B0707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0ABAF1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2928D6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4046" w:type="pct"/>
                  <w:vAlign w:val="center"/>
                </w:tcPr>
                <w:p w14:paraId="7B4871C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DRG绩效评价方案设计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2542B23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CB2E5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40C4CF01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4046" w:type="pct"/>
                  <w:vAlign w:val="center"/>
                </w:tcPr>
                <w:p w14:paraId="5946352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三级公立医院绩效评价方案设计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7571E03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4E16C7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662900F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二、</w:t>
                  </w:r>
                  <w:bookmarkStart w:id="0" w:name="OLE_LINK11"/>
                  <w:r>
                    <w:rPr>
                      <w:rFonts w:hint="eastAsia"/>
                    </w:rPr>
                    <w:t>医院绩效考核管理软件系统</w:t>
                  </w:r>
                  <w:bookmarkEnd w:id="0"/>
                </w:p>
              </w:tc>
            </w:tr>
            <w:tr w14:paraId="294E71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AF4C19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046" w:type="pct"/>
                  <w:vAlign w:val="center"/>
                </w:tcPr>
                <w:p w14:paraId="7AB41C8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t>基于RBRVS的医院绩效评价管理系统</w:t>
                  </w:r>
                </w:p>
              </w:tc>
              <w:tc>
                <w:tcPr>
                  <w:tcW w:w="469" w:type="pct"/>
                  <w:vAlign w:val="center"/>
                </w:tcPr>
                <w:p w14:paraId="6AB7D40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</w:tbl>
          <w:p w14:paraId="737F3C7F">
            <w:pPr>
              <w:spacing w:line="36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3317B5D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 提供绩效管理咨询服务；</w:t>
            </w:r>
          </w:p>
          <w:p w14:paraId="2FA8AC6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包含：临床医生绩效评价方案设计、临床护理绩效评价方案设计、医技科室绩效评价方案设计、挂号收费、药学、供应室等科室绩效评价方案设计、手术专项绩效评价方案设计、科室直接成本管控方案设计、核算单元嵌入关键考核指标方案设计、二次分配指导意见方案设计、DRG绩效评价方案设计、三级公立医院绩效考核方案设计等方面绩效管理方案设计咨询服务。</w:t>
            </w:r>
          </w:p>
          <w:p w14:paraId="74EA284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  提供软件实施服务，要求厂商实施过医院绩效考核管理软件系统，包含不限于以下内容：</w:t>
            </w:r>
          </w:p>
          <w:p w14:paraId="56183596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2.1运用RBRVS和DRG，支持多种分配工具相结合综合核算；</w:t>
            </w:r>
          </w:p>
          <w:p w14:paraId="2D0176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2.2点数规则：本次绩效管理方案特点是以RBRVS的本地化方案为理论依据，计算各临床科室的工作量。点数规则引擎能将点数与规则结合，支持用户通过界面配置来完成项目点数的归属确认。通过多种条件的组合，能够实现较为复杂的逻辑。要求投标软件，必须至少具有按照医生科室、病人科室、员工、职称、费别、项目、员工身份、节假日工作、门诊住院工作等条件进行规则制定的能力。</w:t>
            </w:r>
          </w:p>
          <w:p w14:paraId="0892038B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2.3KPI指标：关键业绩指标作为绩效考核与评价的重要维度之一，应当可扩展、可调整、可定义。指标结果的计算逻辑必须由公式编辑器来定义，公式编辑器应当支持按录入值进行梯度计算、按录入值完成率进行梯度计算、按区间进行计算得分等模式。指标支持不同的考核周期（月、季度、半年、年度），指标编辑器支持引入外部变量来作为指标的动态目标值。</w:t>
            </w:r>
          </w:p>
          <w:p w14:paraId="0CF39E9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2.4成本管理：绩效所需成本项目，必须支持自动采集、手工录入和批量导入的方式。支持任意多层级的成本项目。不同的成本项目在进入绩效分配运算时，应当考虑支持不同的计提比例，通过计提比例的调整确保成本因素在绩效比例中占比合理。</w:t>
            </w:r>
          </w:p>
          <w:p w14:paraId="0EAD134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2.5手术单项：结合历史数据梳理手术科室的基础手术工作量，对于超过基础手术工作量的部分进行单项奖励。对超过的比例、超额的奖励都可通过软件动态调节，无需进行代码修改。</w:t>
            </w:r>
          </w:p>
          <w:p w14:paraId="7595E0B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2.6二次分配方案：除支持个人绩效上报外，还必须支持复杂的科室分配方式，通过软件采集到的个人数据结合科室手工核准上报的项目，从年资、工作量、奖惩三个角度，自动对个人绩效进行评价。</w:t>
            </w:r>
          </w:p>
          <w:p w14:paraId="2DCC47A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二、供应商资质要求：</w:t>
            </w:r>
          </w:p>
          <w:p w14:paraId="10E4E9D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 参会供应商必须是中华人民共和国境内注册的独立法人机构，持有有效的企业法人营业执照，具有独立承担民事责任的能力。</w:t>
            </w:r>
          </w:p>
          <w:p w14:paraId="38EADA3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 本项目只接受独立法人，不接受任何形式联合体，不得分包转包。</w:t>
            </w:r>
          </w:p>
          <w:p w14:paraId="24C1F09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3. 有稳定的技术服务队伍，履行合同所必需的设备和专业技术能力，服务承诺能完好兑现。</w:t>
            </w:r>
          </w:p>
          <w:p w14:paraId="3F3748F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三、报名提交资料要求</w:t>
            </w:r>
          </w:p>
          <w:p w14:paraId="46F7E8FA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asciiTheme="minorEastAsia" w:hAnsiTheme="minorEastAsia"/>
                <w:sz w:val="24"/>
              </w:rPr>
              <w:t>1. 基础材料</w:t>
            </w:r>
          </w:p>
          <w:p w14:paraId="2FB19B3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1.1营业执照副本复印件、税务登记证复印件、组织机构代码证复印件（三证合一或五证合一的证明文件复印件）；</w:t>
            </w:r>
          </w:p>
          <w:p w14:paraId="4B9C18AB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1.2企业法人授权委托书（附件1）、法人/负责人证明书（附件2）、委托人/参会人身份证复印件；</w:t>
            </w:r>
          </w:p>
          <w:p w14:paraId="3E6B3ED9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2. </w:t>
            </w:r>
            <w:r>
              <w:rPr>
                <w:rFonts w:asciiTheme="minorEastAsia" w:hAnsiTheme="minorEastAsia"/>
                <w:sz w:val="24"/>
              </w:rPr>
              <w:t>项目报价表；</w:t>
            </w:r>
          </w:p>
          <w:p w14:paraId="3356E5CC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asciiTheme="minorEastAsia" w:hAnsiTheme="minorEastAsia"/>
                <w:sz w:val="24"/>
              </w:rPr>
              <w:t>.项目成功案例介绍--近两年三甲医院中标书参考，包括近两年成交价格（合同或中标通知书复印件并盖单位章）；</w:t>
            </w:r>
          </w:p>
          <w:p w14:paraId="27BA8A3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4</w:t>
            </w:r>
            <w:r>
              <w:rPr>
                <w:rFonts w:asciiTheme="minorEastAsia" w:hAnsiTheme="minorEastAsia"/>
                <w:sz w:val="24"/>
              </w:rPr>
              <w:t>.项目售后服务方案；</w:t>
            </w:r>
          </w:p>
          <w:p w14:paraId="3A55484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.所投软件自主产权证明。</w:t>
            </w:r>
          </w:p>
          <w:p w14:paraId="20C87B3C">
            <w:pPr>
              <w:spacing w:line="360" w:lineRule="auto"/>
              <w:rPr>
                <w:rFonts w:hint="eastAsia"/>
                <w:sz w:val="24"/>
              </w:rPr>
            </w:pPr>
          </w:p>
          <w:p w14:paraId="0F423B51">
            <w:pPr>
              <w:spacing w:line="36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224A4AB9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4B65EB50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3EADC135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D0D3B"/>
    <w:rsid w:val="00117269"/>
    <w:rsid w:val="008D4429"/>
    <w:rsid w:val="00C22BFB"/>
    <w:rsid w:val="00FA0409"/>
    <w:rsid w:val="298004A8"/>
    <w:rsid w:val="53330AA9"/>
    <w:rsid w:val="56B06D87"/>
    <w:rsid w:val="653F56B9"/>
    <w:rsid w:val="68A869C0"/>
    <w:rsid w:val="6B293C42"/>
    <w:rsid w:val="6E256696"/>
    <w:rsid w:val="72960694"/>
    <w:rsid w:val="7E27328E"/>
    <w:rsid w:val="7E5D2EBC"/>
    <w:rsid w:val="DBFEF4FC"/>
    <w:rsid w:val="FFFD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link w:val="10"/>
    <w:qFormat/>
    <w:uiPriority w:val="1"/>
    <w:pPr>
      <w:widowControl w:val="0"/>
      <w:spacing w:line="360" w:lineRule="auto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0">
    <w:name w:val="无间隔 字符"/>
    <w:link w:val="9"/>
    <w:qFormat/>
    <w:uiPriority w:val="1"/>
    <w:rPr>
      <w:rFonts w:ascii="宋体" w:hAnsi="宋体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1480</Characters>
  <Lines>11</Lines>
  <Paragraphs>3</Paragraphs>
  <TotalTime>68</TotalTime>
  <ScaleCrop>false</ScaleCrop>
  <LinksUpToDate>false</LinksUpToDate>
  <CharactersWithSpaces>1488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2025-09-30T17:08:00Z</dcterms:created>
  <dc:creator>郑丹</dc:creator>
  <cp:lastModifiedBy>潘林</cp:lastModifiedBy>
  <dcterms:modified xsi:type="dcterms:W3CDTF">2025-09-30T07:30:55Z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319EE71E36E54859B6F89EC9A13D2CFB_13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