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1992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4F04878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1124824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565C807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竞争性磋商文件</w:t>
      </w:r>
    </w:p>
    <w:p w14:paraId="5B5C570E">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CD73CC3">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C561E38">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F81BD16">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68CDF04">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C5C1409">
      <w:pPr>
        <w:pBdr>
          <w:top w:val="none" w:color="000000" w:sz="0" w:space="0"/>
          <w:left w:val="none" w:color="000000" w:sz="0" w:space="0"/>
          <w:bottom w:val="none" w:color="000000" w:sz="0" w:space="0"/>
          <w:right w:val="none" w:color="000000" w:sz="0" w:space="0"/>
        </w:pBdr>
        <w:spacing w:before="0" w:after="0" w:line="85" w:lineRule="atLeast"/>
        <w:ind w:left="0" w:right="0" w:firstLine="2393"/>
      </w:pPr>
      <w:bookmarkStart w:id="0" w:name="_GoBack"/>
      <w:bookmarkEnd w:id="0"/>
    </w:p>
    <w:p w14:paraId="08B4CF8D">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60E2EF7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44"/>
        </w:rPr>
        <w:t xml:space="preserve"> 项目名称：药食同源食品加工及销售服务项目</w:t>
      </w:r>
    </w:p>
    <w:p w14:paraId="1C748F4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34879B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5F49EEB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18EF3A3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28D744C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3ECDFFE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F18D45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3BFB84B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17B7D8C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2025年</w:t>
      </w:r>
      <w:r>
        <w:rPr>
          <w:rFonts w:hint="eastAsia" w:ascii="宋体" w:hAnsi="宋体" w:eastAsia="宋体" w:cs="宋体"/>
          <w:b/>
          <w:color w:val="000000"/>
          <w:sz w:val="32"/>
          <w:lang w:val="en-US" w:eastAsia="zh-CN"/>
        </w:rPr>
        <w:t>11</w:t>
      </w:r>
      <w:r>
        <w:rPr>
          <w:rFonts w:ascii="宋体" w:hAnsi="宋体" w:eastAsia="宋体" w:cs="宋体"/>
          <w:b/>
          <w:color w:val="000000"/>
          <w:sz w:val="32"/>
        </w:rPr>
        <w:t>月</w:t>
      </w:r>
    </w:p>
    <w:p w14:paraId="4C0C22B2">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0530369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6"/>
        </w:rPr>
        <w:t>一、竞争性磋商</w:t>
      </w:r>
    </w:p>
    <w:p w14:paraId="3A9A4E53">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福建中医药大学附属人民医院对</w:t>
      </w:r>
      <w:r>
        <w:rPr>
          <w:rFonts w:ascii="宋体" w:hAnsi="宋体" w:eastAsia="宋体" w:cs="宋体"/>
          <w:color w:val="000000"/>
          <w:sz w:val="24"/>
          <w:u w:val="single"/>
        </w:rPr>
        <w:t>药食同源食品加工及销售服务项目</w:t>
      </w:r>
      <w:r>
        <w:rPr>
          <w:rFonts w:ascii="宋体" w:hAnsi="宋体" w:eastAsia="宋体" w:cs="宋体"/>
          <w:color w:val="000000"/>
          <w:sz w:val="24"/>
        </w:rPr>
        <w:t>进行院内竞争性磋商采购，现欢迎有能力提供产品的供应商前来提交密封的报价。</w:t>
      </w:r>
    </w:p>
    <w:p w14:paraId="78533568">
      <w:pPr>
        <w:numPr>
          <w:ilvl w:val="0"/>
          <w:numId w:val="1"/>
        </w:numPr>
        <w:pBdr>
          <w:top w:val="none" w:color="000000" w:sz="0" w:space="0"/>
          <w:left w:val="none" w:color="000000" w:sz="0" w:space="0"/>
          <w:bottom w:val="none" w:color="000000" w:sz="0" w:space="0"/>
          <w:right w:val="none" w:color="000000" w:sz="0" w:space="0"/>
        </w:pBdr>
        <w:tabs>
          <w:tab w:val="left" w:pos="312"/>
        </w:tabs>
        <w:spacing w:before="0" w:after="0" w:line="85" w:lineRule="atLeast"/>
      </w:pPr>
      <w:r>
        <w:rPr>
          <w:rFonts w:ascii="宋体" w:hAnsi="宋体" w:eastAsia="宋体" w:cs="宋体"/>
          <w:color w:val="000000"/>
          <w:sz w:val="24"/>
        </w:rPr>
        <w:t>公示时间：2025年</w:t>
      </w:r>
      <w:r>
        <w:rPr>
          <w:rFonts w:hint="eastAsia" w:ascii="宋体" w:hAnsi="宋体" w:eastAsia="宋体" w:cs="宋体"/>
          <w:color w:val="000000"/>
          <w:sz w:val="24"/>
          <w:lang w:val="en-US" w:eastAsia="zh-CN"/>
        </w:rPr>
        <w:t>11</w:t>
      </w:r>
      <w:r>
        <w:rPr>
          <w:rFonts w:ascii="宋体" w:hAnsi="宋体" w:eastAsia="宋体" w:cs="宋体"/>
          <w:color w:val="000000"/>
          <w:sz w:val="24"/>
        </w:rPr>
        <w:t>月</w:t>
      </w:r>
      <w:r>
        <w:rPr>
          <w:rFonts w:hint="eastAsia" w:ascii="宋体" w:hAnsi="宋体" w:eastAsia="宋体" w:cs="宋体"/>
          <w:color w:val="000000"/>
          <w:sz w:val="24"/>
          <w:lang w:val="en-US" w:eastAsia="zh-CN"/>
        </w:rPr>
        <w:t>11</w:t>
      </w:r>
      <w:r>
        <w:rPr>
          <w:rFonts w:ascii="宋体" w:hAnsi="宋体" w:eastAsia="宋体" w:cs="宋体"/>
          <w:color w:val="000000"/>
          <w:sz w:val="24"/>
        </w:rPr>
        <w:t>日至2025年</w:t>
      </w:r>
      <w:r>
        <w:rPr>
          <w:rFonts w:hint="eastAsia" w:ascii="宋体" w:hAnsi="宋体" w:eastAsia="宋体" w:cs="宋体"/>
          <w:color w:val="000000"/>
          <w:sz w:val="24"/>
          <w:lang w:val="en-US" w:eastAsia="zh-CN"/>
        </w:rPr>
        <w:t>11</w:t>
      </w:r>
      <w:r>
        <w:rPr>
          <w:rFonts w:ascii="宋体" w:hAnsi="宋体" w:eastAsia="宋体" w:cs="宋体"/>
          <w:color w:val="000000"/>
          <w:sz w:val="24"/>
        </w:rPr>
        <w:t>月</w:t>
      </w:r>
      <w:r>
        <w:rPr>
          <w:rFonts w:hint="eastAsia" w:ascii="宋体" w:hAnsi="宋体" w:eastAsia="宋体" w:cs="宋体"/>
          <w:color w:val="000000"/>
          <w:sz w:val="24"/>
          <w:lang w:val="en-US" w:eastAsia="zh-CN"/>
        </w:rPr>
        <w:t>17</w:t>
      </w:r>
      <w:r>
        <w:rPr>
          <w:rFonts w:ascii="宋体" w:hAnsi="宋体" w:eastAsia="宋体" w:cs="宋体"/>
          <w:color w:val="000000"/>
          <w:sz w:val="24"/>
        </w:rPr>
        <w:t>日，</w:t>
      </w:r>
      <w:r>
        <w:rPr>
          <w:rFonts w:ascii="宋体" w:hAnsi="宋体" w:eastAsia="宋体" w:cs="宋体"/>
          <w:color w:val="000000"/>
          <w:sz w:val="21"/>
        </w:rPr>
        <w:t>自竞争性磋商公告发布之日起</w:t>
      </w:r>
      <w:r>
        <w:rPr>
          <w:rFonts w:hint="eastAsia" w:ascii="宋体" w:hAnsi="宋体" w:eastAsia="宋体" w:cs="宋体"/>
          <w:color w:val="000000"/>
          <w:sz w:val="21"/>
          <w:lang w:val="en-US" w:eastAsia="zh-CN"/>
        </w:rPr>
        <w:t>5</w:t>
      </w:r>
      <w:r>
        <w:rPr>
          <w:rFonts w:ascii="宋体" w:hAnsi="宋体" w:eastAsia="宋体" w:cs="宋体"/>
          <w:color w:val="000000"/>
          <w:sz w:val="21"/>
        </w:rPr>
        <w:t>个工作日</w:t>
      </w:r>
      <w:r>
        <w:rPr>
          <w:rFonts w:ascii="宋体" w:hAnsi="宋体" w:eastAsia="宋体" w:cs="宋体"/>
          <w:color w:val="000000"/>
          <w:sz w:val="24"/>
        </w:rPr>
        <w:t>。</w:t>
      </w:r>
    </w:p>
    <w:p w14:paraId="519EFE85">
      <w:pPr>
        <w:numPr>
          <w:ilvl w:val="0"/>
          <w:numId w:val="1"/>
        </w:numPr>
        <w:pBdr>
          <w:top w:val="none" w:color="000000" w:sz="0" w:space="0"/>
          <w:left w:val="none" w:color="000000" w:sz="0" w:space="0"/>
          <w:bottom w:val="none" w:color="000000" w:sz="0" w:space="0"/>
          <w:right w:val="none" w:color="000000" w:sz="0" w:space="0"/>
        </w:pBdr>
        <w:tabs>
          <w:tab w:val="left" w:pos="312"/>
        </w:tabs>
        <w:spacing w:before="0" w:after="0" w:line="85" w:lineRule="atLeast"/>
      </w:pPr>
      <w:r>
        <w:rPr>
          <w:rFonts w:ascii="宋体" w:hAnsi="宋体" w:eastAsia="宋体" w:cs="宋体"/>
          <w:color w:val="000000"/>
          <w:sz w:val="24"/>
        </w:rPr>
        <w:t>递交投标文件截止时间：2025年</w:t>
      </w:r>
      <w:r>
        <w:rPr>
          <w:rFonts w:hint="eastAsia" w:ascii="宋体" w:hAnsi="宋体" w:eastAsia="宋体" w:cs="宋体"/>
          <w:color w:val="000000"/>
          <w:sz w:val="24"/>
          <w:lang w:val="en-US" w:eastAsia="zh-CN"/>
        </w:rPr>
        <w:t>11</w:t>
      </w:r>
      <w:r>
        <w:rPr>
          <w:rFonts w:ascii="宋体" w:hAnsi="宋体" w:eastAsia="宋体" w:cs="宋体"/>
          <w:color w:val="000000"/>
          <w:sz w:val="24"/>
        </w:rPr>
        <w:t>月</w:t>
      </w:r>
      <w:r>
        <w:rPr>
          <w:rFonts w:hint="eastAsia" w:ascii="宋体" w:hAnsi="宋体" w:eastAsia="宋体" w:cs="宋体"/>
          <w:color w:val="000000"/>
          <w:sz w:val="24"/>
          <w:lang w:val="en-US" w:eastAsia="zh-CN"/>
        </w:rPr>
        <w:t>21</w:t>
      </w:r>
      <w:r>
        <w:rPr>
          <w:rFonts w:ascii="宋体" w:hAnsi="宋体" w:eastAsia="宋体" w:cs="宋体"/>
          <w:color w:val="000000"/>
          <w:sz w:val="24"/>
        </w:rPr>
        <w:t>日，</w:t>
      </w:r>
      <w:r>
        <w:rPr>
          <w:rFonts w:hint="eastAsia" w:ascii="宋体" w:hAnsi="宋体" w:cs="宋体"/>
          <w:color w:val="000000"/>
          <w:sz w:val="24"/>
          <w:szCs w:val="24"/>
          <w:highlight w:val="none"/>
          <w:lang w:val="en-US" w:eastAsia="zh-CN"/>
        </w:rPr>
        <w:t>上午09:30</w:t>
      </w:r>
      <w:r>
        <w:rPr>
          <w:rFonts w:hint="eastAsia" w:ascii="宋体" w:hAnsi="宋体" w:eastAsia="宋体" w:cs="宋体"/>
          <w:color w:val="000000"/>
          <w:sz w:val="24"/>
          <w:szCs w:val="24"/>
          <w:highlight w:val="none"/>
        </w:rPr>
        <w:t>（北京时间）</w:t>
      </w:r>
      <w:r>
        <w:rPr>
          <w:rFonts w:ascii="宋体" w:hAnsi="宋体" w:eastAsia="宋体" w:cs="宋体"/>
          <w:color w:val="000000"/>
          <w:sz w:val="24"/>
        </w:rPr>
        <w:t>。超过递交截止时间递交的投标文件恕不接受。投标文件递交后概不退还，逾期送达（以签到为准）、未送达指定地点及未按竞争性磋商文件要求密封的投标文件均不予接受。</w:t>
      </w:r>
    </w:p>
    <w:p w14:paraId="14FD7667">
      <w:pPr>
        <w:pBdr>
          <w:top w:val="none" w:color="000000" w:sz="0" w:space="0"/>
          <w:left w:val="none" w:color="000000" w:sz="0" w:space="0"/>
          <w:bottom w:val="none" w:color="000000" w:sz="0" w:space="0"/>
          <w:right w:val="none" w:color="000000" w:sz="0" w:space="0"/>
        </w:pBdr>
        <w:spacing w:before="0" w:after="0" w:line="85" w:lineRule="atLeast"/>
        <w:ind w:left="357" w:right="0" w:firstLine="0"/>
      </w:pPr>
      <w:r>
        <w:rPr>
          <w:rFonts w:ascii="宋体" w:hAnsi="宋体" w:eastAsia="宋体" w:cs="宋体"/>
          <w:color w:val="000000"/>
          <w:sz w:val="24"/>
        </w:rPr>
        <w:t xml:space="preserve"> 3.评标开始时间：</w:t>
      </w:r>
      <w:r>
        <w:rPr>
          <w:rFonts w:ascii="宋体" w:hAnsi="宋体" w:eastAsia="宋体" w:cs="宋体"/>
          <w:b/>
          <w:bCs/>
          <w:color w:val="000000"/>
          <w:sz w:val="24"/>
        </w:rPr>
        <w:t>2025年</w:t>
      </w:r>
      <w:r>
        <w:rPr>
          <w:rFonts w:hint="eastAsia" w:ascii="宋体" w:hAnsi="宋体" w:eastAsia="宋体" w:cs="宋体"/>
          <w:b/>
          <w:bCs/>
          <w:color w:val="000000"/>
          <w:sz w:val="24"/>
          <w:lang w:val="en-US" w:eastAsia="zh-CN"/>
        </w:rPr>
        <w:t>11</w:t>
      </w:r>
      <w:r>
        <w:rPr>
          <w:rFonts w:ascii="宋体" w:hAnsi="宋体" w:eastAsia="宋体" w:cs="宋体"/>
          <w:b/>
          <w:bCs/>
          <w:color w:val="000000"/>
          <w:sz w:val="24"/>
        </w:rPr>
        <w:t>月</w:t>
      </w:r>
      <w:r>
        <w:rPr>
          <w:rFonts w:hint="eastAsia" w:ascii="宋体" w:hAnsi="宋体" w:eastAsia="宋体" w:cs="宋体"/>
          <w:b/>
          <w:bCs/>
          <w:color w:val="000000"/>
          <w:sz w:val="24"/>
          <w:lang w:val="en-US" w:eastAsia="zh-CN"/>
        </w:rPr>
        <w:t>21</w:t>
      </w:r>
      <w:r>
        <w:rPr>
          <w:rFonts w:ascii="宋体" w:hAnsi="宋体" w:eastAsia="宋体" w:cs="宋体"/>
          <w:b/>
          <w:bCs/>
          <w:color w:val="000000"/>
          <w:sz w:val="24"/>
        </w:rPr>
        <w:t>日，</w:t>
      </w:r>
      <w:r>
        <w:rPr>
          <w:rFonts w:hint="eastAsia" w:ascii="宋体" w:hAnsi="宋体" w:cs="宋体"/>
          <w:b/>
          <w:bCs/>
          <w:color w:val="000000"/>
          <w:sz w:val="24"/>
          <w:szCs w:val="24"/>
          <w:highlight w:val="none"/>
          <w:lang w:val="en-US" w:eastAsia="zh-CN"/>
        </w:rPr>
        <w:t>上午09:30</w:t>
      </w:r>
      <w:r>
        <w:rPr>
          <w:rFonts w:hint="eastAsia" w:ascii="宋体" w:hAnsi="宋体" w:eastAsia="宋体" w:cs="宋体"/>
          <w:b/>
          <w:bCs/>
          <w:color w:val="000000"/>
          <w:sz w:val="24"/>
          <w:szCs w:val="24"/>
          <w:highlight w:val="none"/>
        </w:rPr>
        <w:t>（北京时间）</w:t>
      </w:r>
      <w:r>
        <w:rPr>
          <w:rFonts w:ascii="宋体" w:hAnsi="宋体" w:eastAsia="宋体" w:cs="宋体"/>
          <w:b/>
          <w:bCs/>
          <w:color w:val="000000"/>
          <w:sz w:val="24"/>
        </w:rPr>
        <w:t>。</w:t>
      </w:r>
    </w:p>
    <w:p w14:paraId="382E80A1">
      <w:pPr>
        <w:pBdr>
          <w:top w:val="none" w:color="000000" w:sz="0" w:space="0"/>
          <w:left w:val="none" w:color="000000" w:sz="0" w:space="0"/>
          <w:bottom w:val="none" w:color="000000" w:sz="0" w:space="0"/>
          <w:right w:val="none" w:color="000000" w:sz="0" w:space="0"/>
        </w:pBdr>
        <w:spacing w:before="0" w:after="0" w:line="500" w:lineRule="atLeast"/>
        <w:ind w:left="357" w:right="0" w:firstLine="120"/>
      </w:pPr>
      <w:r>
        <w:rPr>
          <w:rFonts w:ascii="宋体" w:hAnsi="宋体" w:eastAsia="宋体" w:cs="宋体"/>
          <w:color w:val="000000"/>
          <w:sz w:val="24"/>
        </w:rPr>
        <w:t>4.评标地点：</w:t>
      </w:r>
      <w:r>
        <w:rPr>
          <w:rFonts w:ascii="宋体" w:hAnsi="宋体" w:eastAsia="宋体" w:cs="宋体"/>
          <w:b/>
          <w:color w:val="000000"/>
          <w:spacing w:val="-6"/>
          <w:sz w:val="24"/>
        </w:rPr>
        <w:t>福建中医药大学附属人民医院6号楼2层会议室</w:t>
      </w:r>
      <w:r>
        <w:rPr>
          <w:rFonts w:ascii="宋体" w:hAnsi="宋体" w:eastAsia="宋体" w:cs="宋体"/>
          <w:color w:val="000000"/>
          <w:sz w:val="24"/>
        </w:rPr>
        <w:t>。</w:t>
      </w:r>
    </w:p>
    <w:p w14:paraId="11C9AFA2">
      <w:pPr>
        <w:pBdr>
          <w:top w:val="none" w:color="000000" w:sz="0" w:space="0"/>
          <w:left w:val="none" w:color="000000" w:sz="0" w:space="0"/>
          <w:bottom w:val="none" w:color="000000" w:sz="0" w:space="0"/>
          <w:right w:val="none" w:color="000000" w:sz="0" w:space="0"/>
        </w:pBdr>
        <w:spacing w:before="0" w:after="0" w:line="500" w:lineRule="atLeast"/>
        <w:ind w:left="0" w:right="0" w:firstLine="456"/>
      </w:pPr>
      <w:r>
        <w:rPr>
          <w:rFonts w:ascii="宋体" w:hAnsi="宋体" w:eastAsia="宋体" w:cs="宋体"/>
          <w:color w:val="000000"/>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后勤处2办公室，口头提交质疑澄清的问题不予接受。</w:t>
      </w:r>
    </w:p>
    <w:p w14:paraId="24250BB4">
      <w:pPr>
        <w:pBdr>
          <w:top w:val="none" w:color="000000" w:sz="0" w:space="0"/>
          <w:left w:val="none" w:color="000000" w:sz="0" w:space="0"/>
          <w:bottom w:val="none" w:color="000000" w:sz="0" w:space="0"/>
          <w:right w:val="none" w:color="000000" w:sz="0" w:space="0"/>
        </w:pBdr>
        <w:spacing w:before="0" w:after="0" w:line="500" w:lineRule="atLeast"/>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u w:val="single"/>
        </w:rPr>
        <w:t>福建中医药大学附属人民医院院内网、院外网</w:t>
      </w:r>
      <w:r>
        <w:rPr>
          <w:rFonts w:ascii="宋体" w:hAnsi="宋体" w:eastAsia="宋体" w:cs="宋体"/>
          <w:color w:val="000000"/>
          <w:sz w:val="24"/>
        </w:rPr>
        <w:t>通知，请供应商随时关注相关网站，以免错漏重要信息。</w:t>
      </w:r>
    </w:p>
    <w:p w14:paraId="46B09BC6">
      <w:pPr>
        <w:pBdr>
          <w:top w:val="none" w:color="000000" w:sz="0" w:space="0"/>
          <w:left w:val="none" w:color="000000" w:sz="0" w:space="0"/>
          <w:bottom w:val="none" w:color="000000" w:sz="0" w:space="0"/>
          <w:right w:val="none" w:color="000000" w:sz="0" w:space="0"/>
        </w:pBdr>
        <w:spacing w:before="0" w:after="0" w:line="500" w:lineRule="atLeast"/>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468D796B">
      <w:pPr>
        <w:pBdr>
          <w:top w:val="none" w:color="000000" w:sz="0" w:space="0"/>
          <w:left w:val="none" w:color="000000" w:sz="0" w:space="0"/>
          <w:bottom w:val="none" w:color="000000" w:sz="0" w:space="0"/>
          <w:right w:val="none" w:color="000000" w:sz="0" w:space="0"/>
        </w:pBdr>
        <w:spacing w:before="0" w:after="0" w:line="85" w:lineRule="atLeast"/>
        <w:ind w:left="0" w:right="0" w:firstLine="600"/>
      </w:pPr>
      <w:r>
        <w:rPr>
          <w:rFonts w:ascii="宋体" w:hAnsi="宋体" w:eastAsia="宋体" w:cs="宋体"/>
          <w:color w:val="000000"/>
          <w:sz w:val="24"/>
        </w:rPr>
        <w:t>联系人：王先生  0591-83942123（办公室）。</w:t>
      </w:r>
    </w:p>
    <w:p w14:paraId="1F5A2C4E">
      <w:pPr>
        <w:pBdr>
          <w:top w:val="none" w:color="000000" w:sz="0" w:space="0"/>
          <w:left w:val="none" w:color="000000" w:sz="0" w:space="0"/>
          <w:bottom w:val="none" w:color="000000" w:sz="0" w:space="0"/>
          <w:right w:val="none" w:color="000000" w:sz="0" w:space="0"/>
        </w:pBdr>
        <w:spacing w:before="0" w:after="0" w:line="85" w:lineRule="atLeast"/>
        <w:ind w:left="0" w:right="0" w:firstLine="0"/>
      </w:pPr>
    </w:p>
    <w:p w14:paraId="4B3F3F59">
      <w:pPr>
        <w:pBdr>
          <w:top w:val="none" w:color="000000" w:sz="0" w:space="0"/>
          <w:left w:val="none" w:color="000000" w:sz="0" w:space="0"/>
          <w:bottom w:val="none" w:color="000000" w:sz="0" w:space="0"/>
          <w:right w:val="none" w:color="000000" w:sz="0" w:space="0"/>
        </w:pBdr>
        <w:spacing w:before="0" w:after="0"/>
        <w:ind w:left="0" w:right="0" w:firstLine="420"/>
      </w:pPr>
    </w:p>
    <w:p w14:paraId="4AB17C8A">
      <w:pPr>
        <w:pBdr>
          <w:top w:val="none" w:color="000000" w:sz="0" w:space="0"/>
          <w:left w:val="none" w:color="000000" w:sz="0" w:space="0"/>
          <w:bottom w:val="none" w:color="000000" w:sz="0" w:space="0"/>
          <w:right w:val="none" w:color="000000" w:sz="0" w:space="0"/>
        </w:pBdr>
        <w:spacing w:before="0" w:after="0"/>
        <w:ind w:left="0" w:right="0" w:firstLine="420"/>
      </w:pPr>
    </w:p>
    <w:p w14:paraId="4C5AA0DA">
      <w:pPr>
        <w:pBdr>
          <w:top w:val="none" w:color="000000" w:sz="0" w:space="0"/>
          <w:left w:val="none" w:color="000000" w:sz="0" w:space="0"/>
          <w:bottom w:val="none" w:color="000000" w:sz="0" w:space="0"/>
          <w:right w:val="none" w:color="000000" w:sz="0" w:space="0"/>
        </w:pBdr>
        <w:spacing w:before="0" w:after="0"/>
        <w:ind w:left="0" w:right="0" w:firstLine="420"/>
      </w:pPr>
    </w:p>
    <w:p w14:paraId="3C3219C2">
      <w:pPr>
        <w:pBdr>
          <w:top w:val="none" w:color="000000" w:sz="0" w:space="0"/>
          <w:left w:val="none" w:color="000000" w:sz="0" w:space="0"/>
          <w:bottom w:val="none" w:color="000000" w:sz="0" w:space="0"/>
          <w:right w:val="none" w:color="000000" w:sz="0" w:space="0"/>
        </w:pBdr>
        <w:spacing w:before="0" w:after="0"/>
        <w:ind w:left="0" w:right="0" w:firstLine="420"/>
      </w:pPr>
    </w:p>
    <w:p w14:paraId="47A8A3FE">
      <w:pPr>
        <w:pBdr>
          <w:top w:val="none" w:color="000000" w:sz="0" w:space="0"/>
          <w:left w:val="none" w:color="000000" w:sz="0" w:space="0"/>
          <w:bottom w:val="none" w:color="000000" w:sz="0" w:space="0"/>
          <w:right w:val="none" w:color="000000" w:sz="0" w:space="0"/>
        </w:pBdr>
        <w:spacing w:before="0" w:after="0"/>
        <w:ind w:left="0" w:right="0" w:firstLine="420"/>
      </w:pPr>
    </w:p>
    <w:p w14:paraId="770E15B8">
      <w:pPr>
        <w:pBdr>
          <w:top w:val="none" w:color="000000" w:sz="0" w:space="0"/>
          <w:left w:val="none" w:color="000000" w:sz="0" w:space="0"/>
          <w:bottom w:val="none" w:color="000000" w:sz="0" w:space="0"/>
          <w:right w:val="none" w:color="000000" w:sz="0" w:space="0"/>
        </w:pBdr>
        <w:spacing w:before="0" w:after="0"/>
        <w:ind w:left="0" w:right="0" w:firstLine="420"/>
      </w:pPr>
    </w:p>
    <w:p w14:paraId="48492C6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6"/>
        </w:rPr>
        <w:t>二、供应商须知</w:t>
      </w:r>
    </w:p>
    <w:p w14:paraId="527F263F">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b/>
          <w:color w:val="000000"/>
          <w:sz w:val="24"/>
        </w:rPr>
        <w:t>1.资格标准：</w:t>
      </w:r>
    </w:p>
    <w:p w14:paraId="776D33E5">
      <w:pPr>
        <w:pBdr>
          <w:top w:val="none" w:color="000000" w:sz="0" w:space="0"/>
          <w:left w:val="none" w:color="000000" w:sz="0" w:space="0"/>
          <w:bottom w:val="none" w:color="000000" w:sz="0" w:space="0"/>
          <w:right w:val="none" w:color="000000" w:sz="0" w:space="0"/>
        </w:pBdr>
        <w:spacing w:before="0" w:after="0" w:line="85" w:lineRule="atLeast"/>
        <w:ind w:left="0" w:right="0" w:firstLine="420"/>
      </w:pPr>
      <w:r>
        <w:rPr>
          <w:rFonts w:ascii="宋体" w:hAnsi="宋体" w:eastAsia="宋体" w:cs="宋体"/>
          <w:color w:val="000000"/>
          <w:sz w:val="24"/>
        </w:rPr>
        <w:t>凡有能力提供本招标文件所述货物，具备相关法律法规、行政规章条例和本招标文件中规定的参加采购活动应当具备的条件的境内独立法人资格均可能成为合格的投标人。</w:t>
      </w:r>
    </w:p>
    <w:p w14:paraId="525669ED">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b/>
          <w:color w:val="000000"/>
          <w:sz w:val="24"/>
        </w:rPr>
        <w:t>2.采购方式：院内竞争性磋商</w:t>
      </w:r>
    </w:p>
    <w:p w14:paraId="2FD25338">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2.1采购方组织的院内竞争性磋商按招标文件规定的时间和地点进行。投标人须在截止时间前递交投标文件。</w:t>
      </w:r>
    </w:p>
    <w:p w14:paraId="75C2CAFD">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2.2成交原则：</w:t>
      </w:r>
    </w:p>
    <w:p w14:paraId="780EFA84">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2.2.1本项目评审采用</w:t>
      </w:r>
      <w:r>
        <w:rPr>
          <w:rFonts w:ascii="宋体" w:hAnsi="宋体" w:eastAsia="宋体" w:cs="宋体"/>
          <w:b/>
          <w:color w:val="000000"/>
          <w:sz w:val="24"/>
          <w:u w:val="single"/>
        </w:rPr>
        <w:t>综合评分法</w:t>
      </w:r>
      <w:r>
        <w:rPr>
          <w:rFonts w:ascii="宋体" w:hAnsi="宋体" w:eastAsia="宋体" w:cs="宋体"/>
          <w:color w:val="000000"/>
          <w:sz w:val="24"/>
        </w:rPr>
        <w:t>进行评审。</w:t>
      </w:r>
    </w:p>
    <w:p w14:paraId="7CA4A736">
      <w:pPr>
        <w:pBdr>
          <w:top w:val="none" w:color="000000" w:sz="0" w:space="0"/>
          <w:left w:val="none" w:color="000000" w:sz="0" w:space="0"/>
          <w:bottom w:val="none" w:color="000000" w:sz="0" w:space="0"/>
          <w:right w:val="none" w:color="000000" w:sz="0" w:space="0"/>
        </w:pBdr>
        <w:spacing w:before="0" w:after="0" w:line="85" w:lineRule="atLeast"/>
        <w:ind w:left="0" w:right="0" w:firstLine="482"/>
      </w:pPr>
      <w:r>
        <w:rPr>
          <w:rFonts w:ascii="宋体" w:hAnsi="宋体" w:eastAsia="宋体" w:cs="宋体"/>
          <w:b/>
          <w:color w:val="000000"/>
          <w:sz w:val="24"/>
        </w:rPr>
        <w:t>2.2.2定标：</w:t>
      </w:r>
    </w:p>
    <w:p w14:paraId="7FA78E63">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（1）采购人授权评审小组根据投标文件满足招标文件全部实质性要求，且按照评审因素的量化指标评审得分（即评标总得分）最高的投标人为中标人。</w:t>
      </w:r>
    </w:p>
    <w:p w14:paraId="33FF2691">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（2）每个投标人的评标总得分FA满分100分，FA为评审因素得分。</w:t>
      </w:r>
    </w:p>
    <w:p w14:paraId="6B1D332C">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（3）各项评审因素的设置如下：</w:t>
      </w:r>
    </w:p>
    <w:p w14:paraId="51D4B137">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②评分项满分为100分。</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65"/>
        <w:gridCol w:w="800"/>
        <w:gridCol w:w="715"/>
        <w:gridCol w:w="5520"/>
        <w:tblGridChange w:id="0">
          <w:tblGrid>
            <w:gridCol w:w="465"/>
            <w:gridCol w:w="800"/>
            <w:gridCol w:w="715"/>
            <w:gridCol w:w="5520"/>
          </w:tblGrid>
        </w:tblGridChange>
      </w:tblGrid>
      <w:tr w14:paraId="5187A6F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01" w:hRule="atLeast"/>
        </w:trPr>
        <w:tc>
          <w:tcPr>
            <w:tcW w:w="46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5191A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序号</w:t>
            </w:r>
          </w:p>
        </w:tc>
        <w:tc>
          <w:tcPr>
            <w:tcW w:w="80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BC6E5C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评标项目</w:t>
            </w:r>
          </w:p>
        </w:tc>
        <w:tc>
          <w:tcPr>
            <w:tcW w:w="71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8A4110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评标分值</w:t>
            </w:r>
          </w:p>
        </w:tc>
        <w:tc>
          <w:tcPr>
            <w:tcW w:w="552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A3D49B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评标方法描述</w:t>
            </w:r>
          </w:p>
        </w:tc>
      </w:tr>
      <w:tr w14:paraId="0683AF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tcW w:w="4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10C3C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w:t>
            </w:r>
          </w:p>
        </w:tc>
        <w:tc>
          <w:tcPr>
            <w:tcW w:w="80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3A4F83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整体运营方案</w:t>
            </w:r>
          </w:p>
        </w:tc>
        <w:tc>
          <w:tcPr>
            <w:tcW w:w="7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DDA7CA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8</w:t>
            </w:r>
          </w:p>
        </w:tc>
        <w:tc>
          <w:tcPr>
            <w:tcW w:w="552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67C4746">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各投标人根据需求情况进行分析，提出针对本项目可操作的运营服务方案，方案至少须包含日常运营管理模式、场地卫生管理制度、岗位职责、各类台账登记制度、食材采购管理制度、仓库管理制度等进行评审：（1）各项方案非常明确，内容详细，深刻理解了项目需求，可提供有针对性服务方案服务承诺可行性高，且能结合采购需求内容提出优于需求的整体服务方案，能有效确保项目的顺利实施，得 8分；（2）各项方案基本完整，内容基本齐全，对项目需求有较为清晰的认识，提供的服务方案能够基本满足项目采购需求，服务承诺可行性较高，且能结合采购需求内容提出基本满足项目需求的整体服务方案，能保障项目的顺利实施，得6分；（3）各项方案未完整提供，内容存在欠缺，对项目需求部分了解，提供的服务方案与项目的匹配度不足。服务承诺较难落地，根据采购需求提出了整体服务方案，但无法保障项目的基本运行，得 4分；（4）各项方案未完整提供，内容不清晰，对项目需求存在误解，无法提供合理的服务方案，服务承诺可行性差，不能完全满足采购需求，无法保障项目实施，得 2 分。（5）未提供对应方案不得分。</w:t>
            </w:r>
          </w:p>
        </w:tc>
      </w:tr>
      <w:tr w14:paraId="5C9BA0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tcW w:w="465"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3C8AC4E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2</w:t>
            </w:r>
          </w:p>
        </w:tc>
        <w:tc>
          <w:tcPr>
            <w:tcW w:w="800"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420BCFD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应急预案</w:t>
            </w:r>
          </w:p>
        </w:tc>
        <w:tc>
          <w:tcPr>
            <w:tcW w:w="71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39BB0E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8</w:t>
            </w:r>
          </w:p>
        </w:tc>
        <w:tc>
          <w:tcPr>
            <w:tcW w:w="5520"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0A5D932">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根据项目执行过程中可能出现的突发事件提供应急预案（包括不限于：食物中毒、火灾、停水停电停燃气、设备故障、重大工伤事故、盗窃、遇到突发事件时到达时间是否速度等）进行评审：（1）对服务过程中可能出现的突发情况有非常全面的认识并能针对突发情况拟定完善的解决方案，对突发事件应急事件有详细的处理步骤及流程，内容能完全贴切本项目采购需求且部分优于需求，能有效确保项目的顺利实施，得 8 分；（2）对服务过程中可能出现的突发情况了解部分不全面，对应急突发事件处理有相关的处理步骤及流程，能满足项目采购需求，基本能有效确保项目的顺利实施，得 6分；（3）对服务过程中可能出现的突发情况不了解，对应急突发事件处理有相关的处理步骤及流程，但内容不能满足项目采购需求，无法有效确保项目的顺利实施：得 4 分；（4）未提供对应方案不得分。</w:t>
            </w:r>
          </w:p>
        </w:tc>
      </w:tr>
      <w:tr w14:paraId="04FB51C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354" w:hRule="atLeast"/>
        </w:trPr>
        <w:tc>
          <w:tcPr>
            <w:tcW w:w="465"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011E24D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3</w:t>
            </w:r>
          </w:p>
        </w:tc>
        <w:tc>
          <w:tcPr>
            <w:tcW w:w="800"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19E7FBC">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安全管理方案</w:t>
            </w:r>
          </w:p>
        </w:tc>
        <w:tc>
          <w:tcPr>
            <w:tcW w:w="71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16FC30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8</w:t>
            </w:r>
          </w:p>
        </w:tc>
        <w:tc>
          <w:tcPr>
            <w:tcW w:w="552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C2B48A0">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根据各投标人为本项目提供的场地消防安全方案、用电用气安全方案、食品卫生安全的保证措施方案进行评审：（1）方案全面、操作规程完善、可行性高，安全检查方案及时有效，防护措施齐全。食材加工制作流程规范，储存保管得当，清洁消毒彻底，完全满足项目采购需求且部分优于需求，能有效保障项目实施，得8分；（2）方案较全面、操作规程较完善，可行性较高，存在较为明显的短板，但总体尚可。存在较明显的安全隐患或管理漏洞，但基本能保障安全，存在一定的食材加工流程漏洞和卫生管理漏洞，但基本能保证食品安全，能满足项目采购需求，部分措施能有效保障项目实施，得6分；（3）方案简单，操作规程缺失，可行性一般，教育培训工作不到位，安全检查不到位，食材加工制作流程和储存、清洁等流程混乱，不能满足项目采购需求，无法保障项目实施，得4分；（4）未提供对应方案不得分。</w:t>
            </w:r>
          </w:p>
        </w:tc>
      </w:tr>
      <w:tr w14:paraId="1DFE8B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863" w:hRule="atLeast"/>
        </w:trPr>
        <w:tc>
          <w:tcPr>
            <w:tcW w:w="465"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42629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4</w:t>
            </w:r>
          </w:p>
        </w:tc>
        <w:tc>
          <w:tcPr>
            <w:tcW w:w="800"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67A51EE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环境保洁及垃圾分类方案</w:t>
            </w:r>
          </w:p>
        </w:tc>
        <w:tc>
          <w:tcPr>
            <w:tcW w:w="71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64E6E8F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6</w:t>
            </w:r>
          </w:p>
        </w:tc>
        <w:tc>
          <w:tcPr>
            <w:tcW w:w="5520"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7523E57F">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根据各投标人为本项目提供场所的环境保洁程序方案，防潮、防蝇、防虫方案及垃圾分类、处理方案进行评审：（1）环境保洁程序方案流程清晰且高效，标准规范，资源利用效率高。防潮、防蝇、防虫方案预防措施全面有效，定期检查和维护机制完善且对环境友好。垃圾分类标准明确，收集设施齐全且符合标准，运输与处理计划合理且环保，员工培训到位。整体可行性高，完全满足项目采购需求且部分优于需求，能有效保障项目实施，得 6分；（2）环境保洁程序方案流程基本明确，但存在效率不高或标准执行不严的问题。防潮、防蝇、防虫方案存在明显的漏洞，但基本能控制问题不恶化。垃圾分类标准不够明确，收集设施存在不足，运输与处理计划有待优化。整体可行性较高，能满足项目采购需求，部分措施能有效保障项目实施，得5分；（3）环境保洁程序方案流程混乱，标准缺失，资源浪费严重。防潮、防蝇、防虫方案预防措施严重不足，可能导致问题频发且难以控制。垃圾分类标准缺失，收集设施严重不足，运输与处理计划混乱。整体可行性一般，不能满足项目采购需求，无法保障项目实施，得 4分；（4）未提供对应方案不得分。</w:t>
            </w:r>
          </w:p>
        </w:tc>
      </w:tr>
      <w:tr w14:paraId="00ECEF8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012" w:hRule="atLeast"/>
        </w:trPr>
        <w:tc>
          <w:tcPr>
            <w:tcW w:w="465"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4AD3EB0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5</w:t>
            </w:r>
          </w:p>
        </w:tc>
        <w:tc>
          <w:tcPr>
            <w:tcW w:w="800"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11CE932">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员工管理方案</w:t>
            </w:r>
          </w:p>
        </w:tc>
        <w:tc>
          <w:tcPr>
            <w:tcW w:w="71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307C71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6</w:t>
            </w:r>
          </w:p>
        </w:tc>
        <w:tc>
          <w:tcPr>
            <w:tcW w:w="5520"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C3FB083">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投标人结合本项目特点提供员工管理方案，包括但不限于工作管理制度、员工档案管理、人员素质培训提升等，由评标委员会进行评分：方案完整合理可行，项目针对性强的得6分；方案较完整合理可行，部分具有项目针对性的得5分；方案不够完整、不够合理可行的得4分；未提供本项不得分。</w:t>
            </w:r>
          </w:p>
        </w:tc>
      </w:tr>
      <w:tr w14:paraId="3C50DDB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183" w:hRule="atLeast"/>
        </w:trPr>
        <w:tc>
          <w:tcPr>
            <w:tcW w:w="465"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4B49D0D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6</w:t>
            </w:r>
          </w:p>
        </w:tc>
        <w:tc>
          <w:tcPr>
            <w:tcW w:w="800"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19804D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设施、设备配置承诺</w:t>
            </w:r>
          </w:p>
        </w:tc>
        <w:tc>
          <w:tcPr>
            <w:tcW w:w="71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8B8EFC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4</w:t>
            </w:r>
          </w:p>
        </w:tc>
        <w:tc>
          <w:tcPr>
            <w:tcW w:w="552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F39B764">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1、投标人承诺后续为本项目配备激光打码机，可在包装印制字迹清晰的生产日期和有效期的得1分；</w:t>
            </w:r>
            <w:r>
              <w:rPr>
                <w:rFonts w:ascii="宋体" w:hAnsi="宋体" w:eastAsia="宋体" w:cs="宋体"/>
                <w:color w:val="000000"/>
                <w:sz w:val="24"/>
              </w:rPr>
              <w:br w:type="textWrapping"/>
            </w:r>
            <w:r>
              <w:rPr>
                <w:rFonts w:ascii="宋体" w:hAnsi="宋体" w:eastAsia="宋体" w:cs="宋体"/>
                <w:color w:val="000000"/>
                <w:sz w:val="24"/>
              </w:rPr>
              <w:t>2、投标人承诺后续为本项目配备真空包装机的得1分；</w:t>
            </w:r>
            <w:r>
              <w:rPr>
                <w:rFonts w:ascii="宋体" w:hAnsi="宋体" w:eastAsia="宋体" w:cs="宋体"/>
                <w:color w:val="000000"/>
                <w:sz w:val="24"/>
              </w:rPr>
              <w:br w:type="textWrapping"/>
            </w:r>
            <w:r>
              <w:rPr>
                <w:rFonts w:ascii="宋体" w:hAnsi="宋体" w:eastAsia="宋体" w:cs="宋体"/>
                <w:color w:val="000000"/>
                <w:sz w:val="24"/>
              </w:rPr>
              <w:t>3、投标人承诺后续为本项目配备饮料封口机的得1分；</w:t>
            </w:r>
            <w:r>
              <w:rPr>
                <w:rFonts w:ascii="宋体" w:hAnsi="宋体" w:eastAsia="宋体" w:cs="宋体"/>
                <w:color w:val="000000"/>
                <w:sz w:val="24"/>
              </w:rPr>
              <w:br w:type="textWrapping"/>
            </w:r>
            <w:r>
              <w:rPr>
                <w:rFonts w:ascii="宋体" w:hAnsi="宋体" w:eastAsia="宋体" w:cs="宋体"/>
                <w:color w:val="000000"/>
                <w:sz w:val="24"/>
              </w:rPr>
              <w:t>4、投标人承诺后续为本项目配备直饮机的得1分；</w:t>
            </w:r>
            <w:r>
              <w:rPr>
                <w:rFonts w:ascii="宋体" w:hAnsi="宋体" w:eastAsia="宋体" w:cs="宋体"/>
                <w:color w:val="000000"/>
                <w:sz w:val="24"/>
              </w:rPr>
              <w:br w:type="textWrapping"/>
            </w:r>
            <w:r>
              <w:rPr>
                <w:rFonts w:ascii="宋体" w:hAnsi="宋体" w:eastAsia="宋体" w:cs="宋体"/>
                <w:color w:val="000000"/>
                <w:sz w:val="24"/>
              </w:rPr>
              <w:t>本项合计4分，投标人须提供承诺函，未提供承诺函不得分。</w:t>
            </w:r>
          </w:p>
        </w:tc>
      </w:tr>
      <w:tr w14:paraId="23EE580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069" w:hRule="atLeast"/>
        </w:trPr>
        <w:tc>
          <w:tcPr>
            <w:tcW w:w="465"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E974F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7</w:t>
            </w:r>
          </w:p>
        </w:tc>
        <w:tc>
          <w:tcPr>
            <w:tcW w:w="800"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1DFEFE3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客户社会保障</w:t>
            </w:r>
          </w:p>
        </w:tc>
        <w:tc>
          <w:tcPr>
            <w:tcW w:w="71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C40E21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4</w:t>
            </w:r>
          </w:p>
        </w:tc>
        <w:tc>
          <w:tcPr>
            <w:tcW w:w="5520"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38034184">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根据投标人为其正在经营或已履约完毕的项目同时投保食品安全责任保险（保额在3000万元及以上）和公众责任保险（保额在3000万元以上）的情况进行打分，每提供一个经营项目的得2分，满分4分。投标人须提供保险单复印件、发票复印件、正经营或已履约完毕项目合同及承诺中标后在本项目开展场地有食品安全责任险（3000万及以上）及公众责任险（3000万及以上）的，未提供相关证明材料和承诺不得分。</w:t>
            </w:r>
          </w:p>
        </w:tc>
      </w:tr>
      <w:tr w14:paraId="2767305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802" w:hRule="atLeast"/>
        </w:trPr>
        <w:tc>
          <w:tcPr>
            <w:tcW w:w="4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16E64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8</w:t>
            </w:r>
          </w:p>
        </w:tc>
        <w:tc>
          <w:tcPr>
            <w:tcW w:w="80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34BE89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服务承诺</w:t>
            </w:r>
          </w:p>
        </w:tc>
        <w:tc>
          <w:tcPr>
            <w:tcW w:w="7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8E48E6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4</w:t>
            </w:r>
          </w:p>
        </w:tc>
        <w:tc>
          <w:tcPr>
            <w:tcW w:w="552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D35A766">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服务承诺函：1、投标人承诺根据医院产量扩大需要，无条件配合增设相应生产制作区域，并出具承诺函的得2分。</w:t>
            </w:r>
            <w:r>
              <w:rPr>
                <w:rFonts w:ascii="宋体" w:hAnsi="宋体" w:eastAsia="宋体" w:cs="宋体"/>
                <w:color w:val="000000"/>
                <w:sz w:val="24"/>
              </w:rPr>
              <w:br w:type="textWrapping"/>
            </w:r>
            <w:r>
              <w:rPr>
                <w:rFonts w:ascii="宋体" w:hAnsi="宋体" w:eastAsia="宋体" w:cs="宋体"/>
                <w:color w:val="000000"/>
                <w:sz w:val="24"/>
              </w:rPr>
              <w:t>2、投标人承诺后续配合医院本项目开通线上美团、饿了吗等网络渠道销售，并出具承诺函的得2分。</w:t>
            </w:r>
            <w:r>
              <w:rPr>
                <w:rFonts w:ascii="宋体" w:hAnsi="宋体" w:eastAsia="宋体" w:cs="宋体"/>
                <w:color w:val="000000"/>
                <w:sz w:val="24"/>
              </w:rPr>
              <w:br w:type="textWrapping"/>
            </w:r>
            <w:r>
              <w:rPr>
                <w:rFonts w:ascii="宋体" w:hAnsi="宋体" w:eastAsia="宋体" w:cs="宋体"/>
                <w:color w:val="000000"/>
                <w:sz w:val="24"/>
              </w:rPr>
              <w:t>本项合计4分，投标人须提供承诺函，未提供承诺函不得分。</w:t>
            </w:r>
          </w:p>
        </w:tc>
      </w:tr>
      <w:tr w14:paraId="0D1ED3E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003" w:hRule="atLeast"/>
        </w:trPr>
        <w:tc>
          <w:tcPr>
            <w:tcW w:w="465"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3C40578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9</w:t>
            </w:r>
          </w:p>
        </w:tc>
        <w:tc>
          <w:tcPr>
            <w:tcW w:w="800"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2277182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团队资质</w:t>
            </w:r>
          </w:p>
        </w:tc>
        <w:tc>
          <w:tcPr>
            <w:tcW w:w="71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634821B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6</w:t>
            </w:r>
          </w:p>
        </w:tc>
        <w:tc>
          <w:tcPr>
            <w:tcW w:w="5520"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2AD83AEE">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1、投标人团队中具有国家有关部门组织的关于食品安全管理的相关培训经验，根据投标人提供的相关培训证明进行打分。每提供一份得1分，满分2分。</w:t>
            </w:r>
            <w:r>
              <w:rPr>
                <w:rFonts w:ascii="宋体" w:hAnsi="宋体" w:eastAsia="宋体" w:cs="宋体"/>
                <w:color w:val="000000"/>
                <w:sz w:val="24"/>
              </w:rPr>
              <w:br w:type="textWrapping"/>
            </w:r>
            <w:r>
              <w:rPr>
                <w:rFonts w:ascii="宋体" w:hAnsi="宋体" w:eastAsia="宋体" w:cs="宋体"/>
                <w:color w:val="000000"/>
                <w:sz w:val="24"/>
              </w:rPr>
              <w:t>2、投标人团队中具有高级营养师，根据投标人提供的相关证明材料进行打分。每提供一份证明材料得1分，满分2分。</w:t>
            </w:r>
            <w:r>
              <w:rPr>
                <w:rFonts w:ascii="宋体" w:hAnsi="宋体" w:eastAsia="宋体" w:cs="宋体"/>
                <w:color w:val="000000"/>
                <w:sz w:val="24"/>
              </w:rPr>
              <w:br w:type="textWrapping"/>
            </w:r>
            <w:r>
              <w:rPr>
                <w:rFonts w:ascii="宋体" w:hAnsi="宋体" w:eastAsia="宋体" w:cs="宋体"/>
                <w:color w:val="000000"/>
                <w:sz w:val="24"/>
              </w:rPr>
              <w:t>3投标人团队中具有高级面点师，根据投标人提供的相关证明材料进行打分。每提供一份证明材料得1分，满分2分。</w:t>
            </w:r>
            <w:r>
              <w:rPr>
                <w:rFonts w:ascii="宋体" w:hAnsi="宋体" w:eastAsia="宋体" w:cs="宋体"/>
                <w:color w:val="000000"/>
                <w:sz w:val="24"/>
              </w:rPr>
              <w:br w:type="textWrapping"/>
            </w:r>
            <w:r>
              <w:rPr>
                <w:rFonts w:ascii="宋体" w:hAnsi="宋体" w:eastAsia="宋体" w:cs="宋体"/>
                <w:color w:val="000000"/>
                <w:sz w:val="24"/>
              </w:rPr>
              <w:t>（以上人员须提供投标截止时间前6个月任一个月由投标人单位缴纳的社保证明材料，未提供或提供不全不得分。）</w:t>
            </w:r>
          </w:p>
        </w:tc>
      </w:tr>
      <w:tr w14:paraId="08353B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918" w:hRule="atLeast"/>
        </w:trPr>
        <w:tc>
          <w:tcPr>
            <w:tcW w:w="465"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3E1959A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10</w:t>
            </w:r>
          </w:p>
        </w:tc>
        <w:tc>
          <w:tcPr>
            <w:tcW w:w="800"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4E705B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体系认证</w:t>
            </w:r>
          </w:p>
        </w:tc>
        <w:tc>
          <w:tcPr>
            <w:tcW w:w="71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A3CAA0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8</w:t>
            </w:r>
          </w:p>
        </w:tc>
        <w:tc>
          <w:tcPr>
            <w:tcW w:w="552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5BF4C7F">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1.投标人具有ISO22000食品安全管理体系认证证书的得1分。</w:t>
            </w:r>
            <w:r>
              <w:rPr>
                <w:rFonts w:ascii="宋体" w:hAnsi="宋体" w:eastAsia="宋体" w:cs="宋体"/>
                <w:color w:val="000000"/>
                <w:sz w:val="24"/>
              </w:rPr>
              <w:br w:type="textWrapping"/>
            </w:r>
            <w:r>
              <w:rPr>
                <w:rFonts w:ascii="宋体" w:hAnsi="宋体" w:eastAsia="宋体" w:cs="宋体"/>
                <w:color w:val="000000"/>
                <w:sz w:val="24"/>
              </w:rPr>
              <w:t>2.投标人具有ISO9001质量管理体系认证证书的得1分。</w:t>
            </w:r>
            <w:r>
              <w:rPr>
                <w:rFonts w:ascii="宋体" w:hAnsi="宋体" w:eastAsia="宋体" w:cs="宋体"/>
                <w:color w:val="000000"/>
                <w:sz w:val="24"/>
              </w:rPr>
              <w:br w:type="textWrapping"/>
            </w:r>
            <w:r>
              <w:rPr>
                <w:rFonts w:ascii="宋体" w:hAnsi="宋体" w:eastAsia="宋体" w:cs="宋体"/>
                <w:color w:val="000000"/>
                <w:sz w:val="24"/>
              </w:rPr>
              <w:t>3.投标人具有ISO14001环境管理体系认证证书的得1分。</w:t>
            </w:r>
            <w:r>
              <w:rPr>
                <w:rFonts w:ascii="宋体" w:hAnsi="宋体" w:eastAsia="宋体" w:cs="宋体"/>
                <w:color w:val="000000"/>
                <w:sz w:val="24"/>
              </w:rPr>
              <w:br w:type="textWrapping"/>
            </w:r>
            <w:r>
              <w:rPr>
                <w:rFonts w:ascii="宋体" w:hAnsi="宋体" w:eastAsia="宋体" w:cs="宋体"/>
                <w:color w:val="000000"/>
                <w:sz w:val="24"/>
              </w:rPr>
              <w:t>4.投标人具有ISO45001职业健康安全管理体系认证证书的得1分。</w:t>
            </w:r>
            <w:r>
              <w:rPr>
                <w:rFonts w:ascii="宋体" w:hAnsi="宋体" w:eastAsia="宋体" w:cs="宋体"/>
                <w:color w:val="000000"/>
                <w:sz w:val="24"/>
              </w:rPr>
              <w:br w:type="textWrapping"/>
            </w:r>
            <w:r>
              <w:rPr>
                <w:rFonts w:ascii="宋体" w:hAnsi="宋体" w:eastAsia="宋体" w:cs="宋体"/>
                <w:color w:val="000000"/>
                <w:sz w:val="24"/>
              </w:rPr>
              <w:t>5.投标人具有企业社会责任管理体系认证证书的得1分。</w:t>
            </w:r>
            <w:r>
              <w:rPr>
                <w:rFonts w:ascii="宋体" w:hAnsi="宋体" w:eastAsia="宋体" w:cs="宋体"/>
                <w:color w:val="000000"/>
                <w:sz w:val="24"/>
              </w:rPr>
              <w:br w:type="textWrapping"/>
            </w:r>
            <w:r>
              <w:rPr>
                <w:rFonts w:ascii="宋体" w:hAnsi="宋体" w:eastAsia="宋体" w:cs="宋体"/>
                <w:color w:val="000000"/>
                <w:sz w:val="24"/>
              </w:rPr>
              <w:t>6.投标人具有售后服务认证证书的得1分。</w:t>
            </w:r>
            <w:r>
              <w:rPr>
                <w:rFonts w:ascii="宋体" w:hAnsi="宋体" w:eastAsia="宋体" w:cs="宋体"/>
                <w:color w:val="000000"/>
                <w:sz w:val="24"/>
              </w:rPr>
              <w:br w:type="textWrapping"/>
            </w:r>
            <w:r>
              <w:rPr>
                <w:rFonts w:ascii="宋体" w:hAnsi="宋体" w:eastAsia="宋体" w:cs="宋体"/>
                <w:color w:val="000000"/>
                <w:sz w:val="24"/>
              </w:rPr>
              <w:t>7.投标人具有企业诚信管理体系认证证书的得1分。</w:t>
            </w:r>
            <w:r>
              <w:rPr>
                <w:rFonts w:ascii="宋体" w:hAnsi="宋体" w:eastAsia="宋体" w:cs="宋体"/>
                <w:color w:val="000000"/>
                <w:sz w:val="24"/>
              </w:rPr>
              <w:br w:type="textWrapping"/>
            </w:r>
            <w:r>
              <w:rPr>
                <w:rFonts w:ascii="宋体" w:hAnsi="宋体" w:eastAsia="宋体" w:cs="宋体"/>
                <w:color w:val="000000"/>
                <w:sz w:val="24"/>
              </w:rPr>
              <w:t>8.投标人具有危害分析与关键控制点（HACCP）体系认证证书的得1分。</w:t>
            </w:r>
            <w:r>
              <w:rPr>
                <w:rFonts w:ascii="宋体" w:hAnsi="宋体" w:eastAsia="宋体" w:cs="宋体"/>
                <w:color w:val="000000"/>
                <w:sz w:val="24"/>
              </w:rPr>
              <w:br w:type="textWrapping"/>
            </w:r>
            <w:r>
              <w:rPr>
                <w:rFonts w:ascii="宋体" w:hAnsi="宋体" w:eastAsia="宋体" w:cs="宋体"/>
                <w:color w:val="000000"/>
                <w:sz w:val="24"/>
              </w:rPr>
              <w:t>注：以上认证须提供有效的相关证书复印件以及认监委官网（https://www.cnca.gov.cn/）查询相应证书真实性的结果打印件，原件备查。若未提供有效证明材料复印件或证明材料复印件模糊不清楚造成无法核实的，不得分。每个认证得1 分，满分8分。</w:t>
            </w:r>
          </w:p>
        </w:tc>
      </w:tr>
      <w:tr w14:paraId="2214815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41" w:hRule="atLeast"/>
        </w:trPr>
        <w:tc>
          <w:tcPr>
            <w:tcW w:w="465"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7BDB4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11</w:t>
            </w:r>
          </w:p>
        </w:tc>
        <w:tc>
          <w:tcPr>
            <w:tcW w:w="800"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63DD53C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履约经验</w:t>
            </w:r>
          </w:p>
        </w:tc>
        <w:tc>
          <w:tcPr>
            <w:tcW w:w="71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CE1B05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8</w:t>
            </w:r>
          </w:p>
        </w:tc>
        <w:tc>
          <w:tcPr>
            <w:tcW w:w="5520"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81B54A5">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根据投标人提供自2022年11月1日起（以合同签订日期为准）至投标截止时间止，投标人自身所完成的餐饮项目进行评分，每提供1份业绩证明材料的得1分，满分8分。 注：投标人须列表并提供该业绩项目的中标公告（提供相关网站中标公告的下载网页并注明网址）、中标通知书复印件、采购合同文本复印件，以及用户评价或履约证明材料或正在履约的证明材料复印件，所有材料缺一不可，否则不得分。</w:t>
            </w:r>
          </w:p>
        </w:tc>
      </w:tr>
      <w:tr w14:paraId="30D786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002" w:hRule="atLeast"/>
        </w:trPr>
        <w:tc>
          <w:tcPr>
            <w:tcW w:w="4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B396A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12</w:t>
            </w:r>
          </w:p>
        </w:tc>
        <w:tc>
          <w:tcPr>
            <w:tcW w:w="80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25DE76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报价</w:t>
            </w:r>
          </w:p>
        </w:tc>
        <w:tc>
          <w:tcPr>
            <w:tcW w:w="7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635143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30</w:t>
            </w:r>
          </w:p>
        </w:tc>
        <w:tc>
          <w:tcPr>
            <w:tcW w:w="552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ED5FD87">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价格分采用高价优先法计算，即满足招标文件要求且最终报价最高的投标报价为评标基准价，其价格分为满分30分。其他投标人的价格分统一按照下列公式计算：投标报价得分=（投标报价／评标基准价）×30</w:t>
            </w:r>
          </w:p>
        </w:tc>
      </w:tr>
    </w:tbl>
    <w:p w14:paraId="50A91B66">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 xml:space="preserve">（4）中标候选人排列规则顺序如下： </w:t>
      </w:r>
    </w:p>
    <w:p w14:paraId="5D3A3497">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a.按照评标总得分（FA）由高到低顺序排列。</w:t>
      </w:r>
    </w:p>
    <w:p w14:paraId="4BBF92C2">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b.评标总得分（FA）相同的，按照评标价由低到高顺序排列。</w:t>
      </w:r>
    </w:p>
    <w:p w14:paraId="7288524D">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c.评标总得分（FA）且评标价相同的并列，以随机抽取方式确定中标候选人。</w:t>
      </w:r>
    </w:p>
    <w:p w14:paraId="6B586FB0">
      <w:pPr>
        <w:pBdr>
          <w:top w:val="none" w:color="000000" w:sz="0" w:space="0"/>
          <w:left w:val="none" w:color="000000" w:sz="0" w:space="0"/>
          <w:bottom w:val="none" w:color="000000" w:sz="0" w:space="0"/>
          <w:right w:val="none" w:color="000000" w:sz="0" w:space="0"/>
        </w:pBdr>
        <w:spacing w:before="0" w:after="0" w:line="576" w:lineRule="atLeast"/>
        <w:ind w:left="0" w:right="0" w:firstLine="48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20F28797">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2.2.4评标结果公示：竞争性磋商结果将在福建中医药大学附属人民医院院内网、院外网的公告栏目内公示。</w:t>
      </w:r>
    </w:p>
    <w:p w14:paraId="0A3A912D">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2.3签订合同：</w:t>
      </w:r>
    </w:p>
    <w:p w14:paraId="3CF3EE7B">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2.3.1中标人收到中标通知书后5个工作日内须来我院办理合同签订手续。</w:t>
      </w:r>
    </w:p>
    <w:p w14:paraId="406EB7A6">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2.3.2招标文件、中标人的投标文件及有效承诺文件等，均为签订合同的依据。</w:t>
      </w:r>
    </w:p>
    <w:p w14:paraId="740CDEAB">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2.3.3款项结算：</w:t>
      </w:r>
    </w:p>
    <w:p w14:paraId="422C2935">
      <w:pPr>
        <w:pBdr>
          <w:top w:val="none" w:color="000000" w:sz="0" w:space="0"/>
          <w:left w:val="none" w:color="000000" w:sz="0" w:space="0"/>
          <w:bottom w:val="none" w:color="000000" w:sz="0" w:space="0"/>
          <w:right w:val="none" w:color="000000" w:sz="0" w:space="0"/>
        </w:pBdr>
        <w:spacing w:before="0" w:after="0" w:line="440" w:lineRule="atLeast"/>
        <w:ind w:left="0" w:firstLine="0" w:firstLineChars="0"/>
        <w:rPr>
          <w:b/>
          <w:bCs/>
        </w:rPr>
      </w:pPr>
      <w:r>
        <w:rPr>
          <w:rFonts w:ascii="宋体" w:hAnsi="宋体" w:eastAsia="宋体" w:cs="宋体"/>
          <w:color w:val="000000"/>
          <w:sz w:val="24"/>
        </w:rPr>
        <w:t xml:space="preserve">    </w:t>
      </w:r>
      <w:r>
        <w:rPr>
          <w:rFonts w:ascii="宋体" w:hAnsi="宋体" w:eastAsia="宋体" w:cs="宋体"/>
          <w:b/>
          <w:bCs/>
          <w:color w:val="000000"/>
          <w:sz w:val="24"/>
        </w:rPr>
        <w:t>（1）供应商应于合同签订后10日内，以银行转账方式向医院缴纳履约保证金10000元，若履约保证金被扣罚的，供应商应及时补充，该履约保证金在合同约定全部事项（含质保）履行完毕，双方无未了事项，医院收到供应商书面申请后无息退还。</w:t>
      </w:r>
    </w:p>
    <w:p w14:paraId="2BB1FDBC">
      <w:pPr>
        <w:pBdr>
          <w:top w:val="none" w:color="000000" w:sz="0" w:space="0"/>
          <w:left w:val="none" w:color="000000" w:sz="0" w:space="0"/>
          <w:bottom w:val="none" w:color="000000" w:sz="0" w:space="0"/>
          <w:right w:val="none" w:color="000000" w:sz="0" w:space="0"/>
        </w:pBdr>
        <w:spacing w:before="0" w:after="0" w:line="440" w:lineRule="atLeast"/>
        <w:ind w:left="0" w:right="0" w:firstLine="480"/>
        <w:rPr>
          <w:b/>
          <w:bCs/>
        </w:rPr>
      </w:pPr>
      <w:r>
        <w:rPr>
          <w:rFonts w:ascii="宋体" w:hAnsi="宋体" w:eastAsia="宋体" w:cs="宋体"/>
          <w:b/>
          <w:bCs/>
          <w:color w:val="000000"/>
          <w:sz w:val="24"/>
        </w:rPr>
        <w:t>（2）本项目按月结算：</w:t>
      </w:r>
    </w:p>
    <w:p w14:paraId="2419AA02">
      <w:pPr>
        <w:pBdr>
          <w:top w:val="none" w:color="000000" w:sz="0" w:space="0"/>
          <w:left w:val="none" w:color="000000" w:sz="0" w:space="0"/>
          <w:bottom w:val="none" w:color="000000" w:sz="0" w:space="0"/>
          <w:right w:val="none" w:color="000000" w:sz="0" w:space="0"/>
        </w:pBdr>
        <w:spacing w:before="0" w:after="0" w:line="440" w:lineRule="atLeast"/>
        <w:ind w:left="0" w:right="0" w:firstLine="480"/>
        <w:rPr>
          <w:b/>
          <w:bCs/>
        </w:rPr>
      </w:pPr>
      <w:r>
        <w:rPr>
          <w:rFonts w:ascii="宋体" w:hAnsi="宋体" w:eastAsia="宋体" w:cs="宋体"/>
          <w:b/>
          <w:bCs/>
          <w:color w:val="000000"/>
          <w:sz w:val="24"/>
        </w:rPr>
        <w:t>①医院所供药材费结算。药食同源食品加工所需药材由医院提供，所供药材结算单价为医院进货价，每月终了，由医院与供应商核对上月相关药材供货数量与单价，经双方确认后，医院开具对应增值税发票，供应商按实际供货数量与单价支付上月药材费用。</w:t>
      </w:r>
    </w:p>
    <w:p w14:paraId="45968160">
      <w:pPr>
        <w:pBdr>
          <w:top w:val="none" w:color="000000" w:sz="0" w:space="0"/>
          <w:left w:val="none" w:color="000000" w:sz="0" w:space="0"/>
          <w:bottom w:val="none" w:color="000000" w:sz="0" w:space="0"/>
          <w:right w:val="none" w:color="000000" w:sz="0" w:space="0"/>
        </w:pBdr>
        <w:spacing w:before="0" w:after="0" w:line="440" w:lineRule="atLeast"/>
        <w:ind w:left="0" w:right="0" w:firstLine="480"/>
        <w:rPr>
          <w:b/>
          <w:bCs/>
        </w:rPr>
      </w:pPr>
      <w:r>
        <w:rPr>
          <w:rFonts w:ascii="宋体" w:hAnsi="宋体" w:eastAsia="宋体" w:cs="宋体"/>
          <w:b/>
          <w:bCs/>
          <w:color w:val="000000"/>
          <w:sz w:val="24"/>
        </w:rPr>
        <w:t>②医院技术指导费结算。医院按技术指导费的协议提取比例和供应商实际销量，按月提取指导费。每月终了，由医院与供应商核对上月食品销量，经双方确认后，医院开具对应增值税发票，供应商按医院提取比例和销售金额支付医院上月技术指导费。</w:t>
      </w:r>
    </w:p>
    <w:p w14:paraId="5DCC6A4C">
      <w:pPr>
        <w:pBdr>
          <w:top w:val="none" w:color="000000" w:sz="0" w:space="0"/>
          <w:left w:val="none" w:color="000000" w:sz="0" w:space="0"/>
          <w:bottom w:val="none" w:color="000000" w:sz="0" w:space="0"/>
          <w:right w:val="none" w:color="000000" w:sz="0" w:space="0"/>
        </w:pBdr>
        <w:spacing w:before="0" w:after="0" w:line="440" w:lineRule="atLeast"/>
        <w:ind w:left="0" w:right="0" w:firstLine="480"/>
        <w:rPr>
          <w:b/>
          <w:bCs/>
        </w:rPr>
      </w:pPr>
      <w:r>
        <w:rPr>
          <w:rFonts w:ascii="宋体" w:hAnsi="宋体" w:eastAsia="宋体" w:cs="宋体"/>
          <w:b/>
          <w:bCs/>
          <w:color w:val="000000"/>
          <w:sz w:val="24"/>
        </w:rPr>
        <w:t>（3）技术指导费结算金额以实际发生的金额为准，不超过技术服务收费总金额28万元。合同服务期限和总金额实行“双限”，即合同期或总金额有一项达上限时，则合同终止。</w:t>
      </w:r>
    </w:p>
    <w:p w14:paraId="2A7BFE0B">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pPr>
    </w:p>
    <w:p w14:paraId="7F8A89B7">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pPr>
    </w:p>
    <w:p w14:paraId="322D0A3C">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pPr>
      <w:r>
        <w:rPr>
          <w:rFonts w:ascii="宋体" w:hAnsi="宋体" w:eastAsia="宋体" w:cs="宋体"/>
          <w:b/>
          <w:color w:val="000000"/>
          <w:sz w:val="36"/>
        </w:rPr>
        <w:t>三、招标项目具体要求</w:t>
      </w:r>
    </w:p>
    <w:p w14:paraId="0873FD3D">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1.项目概况：本项目为医院中医药药食同源健康食品的试点项目，为了配合药食同源产品的研发及销售要求，拟采购一家有资质的供应商提供药食同源食品加工及销售服务。</w:t>
      </w:r>
    </w:p>
    <w:p w14:paraId="41868363">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2.资质要求：</w:t>
      </w:r>
    </w:p>
    <w:p w14:paraId="27817FE2">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2.1具有独立法人资格。</w:t>
      </w:r>
    </w:p>
    <w:p w14:paraId="472B42C7">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2.2具有食品制售的资质。</w:t>
      </w:r>
    </w:p>
    <w:p w14:paraId="2E878868">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2.3凡有能力提供本招标文件所述服务，具备本招标文件中规定条件的境内供应商均可参加本次采购活动。</w:t>
      </w:r>
    </w:p>
    <w:p w14:paraId="4FC1CC0C">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b/>
          <w:bCs/>
          <w:color w:val="000000"/>
          <w:sz w:val="24"/>
        </w:rPr>
      </w:pPr>
      <w:r>
        <w:rPr>
          <w:rFonts w:ascii="宋体" w:hAnsi="宋体" w:eastAsia="宋体" w:cs="宋体"/>
          <w:b/>
          <w:bCs/>
          <w:color w:val="000000"/>
          <w:sz w:val="24"/>
        </w:rPr>
        <w:t>3.本项目为医院委托食品加工及销售服务并收取技术指导费，服务期限半年，技术服务收费金额预计人民币28万元，最终以实际销售情况为准，且不超过28万元。服务费用收费标准按扣除产品精算全成本（不包含设备、场地、运输、搬运、检测（若有）、生产及销售人工、调换、税金等成本）后利润的50%做作为底价，最终报价不得低于产品全成本利润的50%。政策性文件规定的各项应有费用，供应商需自行承担，医院不另行计算支付。</w:t>
      </w:r>
    </w:p>
    <w:p w14:paraId="2A634D24">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4.采购要求：</w:t>
      </w:r>
    </w:p>
    <w:p w14:paraId="0C9A7A35">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1）药食同源药材由医院进行把关提供，供应商不得外购。供应商需保证药食同源的食材主材实现全程溯源，即提供产地证明、检疫合格证明，建立采购台账记录采购日期、批次、供应商信息，不合格原料坚决拒收。若因供应商食品安全管理不善造成的食品安全事故的由供应商承担一切法律及经济责任，并承担由此产生的一切费用，采购人有权解除合同。</w:t>
      </w:r>
    </w:p>
    <w:p w14:paraId="6F196122">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（2）本项目售卖地点、售卖时间、日产量及生产计划根据医院实际需求与中标人商议决定，售卖地点、售卖产品以医院通知为准。</w:t>
      </w:r>
    </w:p>
    <w:p w14:paraId="614059D1">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（3）药食同源产品生产的时间安排根据医院需要执行，同时供应商需配合医院药食同源的推广，例如：节假日服务、企业团单服务及医院特殊活动服务需要。</w:t>
      </w:r>
    </w:p>
    <w:p w14:paraId="56C88D49">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4）供应商须为本项目配置相对固定的生产制作销售区域，若因产量扩大需要，供应商需无条件配合增设相应生产制作区域。生产制度区域的卫生防疫、就餐环境必须达到市卫生监督所制定的标准；消防安全符合国家相关标准，并接受省市相关部门的监督检查，采购人有权监督，并随时检查。</w:t>
      </w:r>
    </w:p>
    <w:p w14:paraId="69244399">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（5）供应商须提供制作设备和密封等包装设备。包装样式医院决定，包装成本纳入产品成本计算。</w:t>
      </w:r>
    </w:p>
    <w:p w14:paraId="2D44C17D">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6）本项目产品的最终定价权归医院所有。供应商须按医院确认的标准生产流程执行，采购人将提供药膳产品的原料配比、预处理要求、烹饪温度时长、分装规范等关键环节标准的技术指导与全流程监管。供应商进行加工及销售（销售相关税费、人工等费用均由供应商承担），供应商应严格食品安全管理，标注生产与保质期标注，制作原料实施溯源管理。</w:t>
      </w:r>
    </w:p>
    <w:p w14:paraId="12B5B6E1">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7）供应商加工完毕的成品院方有权指定人员进行抽样检查。成品标签需清晰标注产品名称、配料表（含药食同源药材）、制作日期、保质期（如冷藏时间等）、储存条件等信息。供应商对超期产品应立即下架销毁。</w:t>
      </w:r>
    </w:p>
    <w:p w14:paraId="297C5F0F">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8）供应商须为本项目配置项目负责人、加工人员及相应销售人员，加工人员需持有效健康证明上岗，每年体检1次，上岗前应接受院方药膳制作与食品安全专项培训。加工时需穿戴清洁工作衣帽、口罩手套，严格执行手部消毒流程。加工区域每日开工前、收工后应按规范对操作台、设备工具清洗消毒；建立食品安全应急预案，若发生食用不适事件，立即封存产品、保留记录并上报；完善全链条追溯体系，实现原料采购、加工、售卖记录可查询。</w:t>
      </w:r>
    </w:p>
    <w:p w14:paraId="7B6CBF4A">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（9）供应商应加强人员管理，遵守社会公德和职业道德，遵守医院规章制度，维护医院声誉，尊重医院工作人员，尊重病人。销售人员需着装服装整洁干净，帽、领结、工作服和鞋子等相关着装佩带整齐。</w:t>
      </w:r>
    </w:p>
    <w:p w14:paraId="2F67089C">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（10）供应商应遵守《中华人民共和国食品安全法》等国家法律法规，同时也要遵守采购人的相关规章制度。</w:t>
      </w:r>
    </w:p>
    <w:p w14:paraId="74D5AD9F">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（11）供应商须自觉接受食品等监督部门和医院职能部门的检查、监督、指导及处罚；若发生食物中毒或其他事故，产生的法律责任及需要支出的费用均由供应商承担。</w:t>
      </w:r>
    </w:p>
    <w:p w14:paraId="28D3C39E">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12）供应商须配合医院研发及试销的要求，包括产品质量控制、食品卫生监管、定价管理、主要原材料采购等要求，配合确定药食同源食品加工及销售的产品范围、方式（如配合开通线上美团、饿了吗等渠道销售），并根据医院实际需求调整，具体执行以医院通知为准。</w:t>
      </w:r>
    </w:p>
    <w:p w14:paraId="3F46333C">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13）本项目中标供应商需配合医院的研发、试销及保密的要求。合作期内，未经医院许可，不得在非本项目产品上及医院外部使用福建省人民医院名称、相关标识及相关食品品牌标志，不得将药食同源产品私自外售。合作期结束后，不得使用福建省人民医院及药食同源产品品牌标志销售任何产品。否则因此而遭致损失的，投标人应赔偿该损失。</w:t>
      </w:r>
    </w:p>
    <w:p w14:paraId="2BC14BCB">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14）供应商提供的服务人员的劳动关系、工资、社会保险、其他福利等相关劳动事宜，由中标人自行负责，与采购人无关。同时为保障服务质量和人员队伍稳定性，供应商应当按国家相关法律法规，合理确定服务人员工资标准、工作时间等。供应商应当自行为服务人员办理必需的保险，有关人员伤亡及第三者责任险均应当考虑在报价因素中，中标人在项目具体实施中应严格按照《中华人民共和国劳动法》、《中华人民共和国社会保险法》规定缴交员工“五险”，发放企业员工的工资、节假日加班费不得低于国家法定规定的项目所在地的最低标准。</w:t>
      </w:r>
    </w:p>
    <w:p w14:paraId="296D24A2">
      <w:pPr>
        <w:numPr>
          <w:ilvl w:val="0"/>
          <w:numId w:val="2"/>
        </w:numPr>
        <w:pBdr>
          <w:top w:val="none" w:color="000000" w:sz="0" w:space="0"/>
          <w:left w:val="none" w:color="000000" w:sz="0" w:space="0"/>
          <w:bottom w:val="none" w:color="000000" w:sz="0" w:space="0"/>
          <w:right w:val="none" w:color="000000" w:sz="0" w:space="0"/>
        </w:pBdr>
        <w:tabs>
          <w:tab w:val="left" w:pos="312"/>
        </w:tabs>
        <w:spacing w:before="0" w:after="0" w:line="440" w:lineRule="atLeast"/>
      </w:pPr>
      <w:r>
        <w:rPr>
          <w:rFonts w:ascii="宋体" w:hAnsi="宋体" w:eastAsia="宋体" w:cs="宋体"/>
          <w:color w:val="000000"/>
          <w:sz w:val="24"/>
        </w:rPr>
        <w:t>违约条款</w:t>
      </w:r>
    </w:p>
    <w:p w14:paraId="3B0C12ED">
      <w:pPr>
        <w:numPr>
          <w:ilvl w:val="0"/>
          <w:numId w:val="3"/>
        </w:numPr>
        <w:pBdr>
          <w:top w:val="none" w:color="000000" w:sz="0" w:space="0"/>
          <w:left w:val="none" w:color="000000" w:sz="0" w:space="0"/>
          <w:bottom w:val="none" w:color="000000" w:sz="0" w:space="0"/>
          <w:right w:val="none" w:color="000000" w:sz="0" w:space="0"/>
        </w:pBdr>
        <w:spacing w:before="0" w:after="0" w:line="440" w:lineRule="atLeast"/>
      </w:pPr>
      <w:r>
        <w:rPr>
          <w:rFonts w:ascii="宋体" w:hAnsi="宋体" w:eastAsia="宋体" w:cs="宋体"/>
          <w:color w:val="000000"/>
          <w:sz w:val="24"/>
        </w:rPr>
        <w:t>采购人接到12345投诉，经查实涉及中标人原因造成的问题应立即整改，经整改不符合要求或拒绝整改的按每次200元从履约保证金中扣除，若因供应商食品或者工艺造成的投诉由供应商负责赔偿。</w:t>
      </w:r>
    </w:p>
    <w:p w14:paraId="4C9C989F">
      <w:pPr>
        <w:numPr>
          <w:ilvl w:val="0"/>
          <w:numId w:val="3"/>
        </w:numPr>
        <w:pBdr>
          <w:top w:val="none" w:color="000000" w:sz="0" w:space="0"/>
          <w:left w:val="none" w:color="000000" w:sz="0" w:space="0"/>
          <w:bottom w:val="none" w:color="000000" w:sz="0" w:space="0"/>
          <w:right w:val="none" w:color="000000" w:sz="0" w:space="0"/>
        </w:pBdr>
        <w:spacing w:before="0" w:after="0" w:line="440" w:lineRule="atLeast"/>
      </w:pPr>
      <w:r>
        <w:rPr>
          <w:rFonts w:ascii="宋体" w:hAnsi="宋体" w:eastAsia="宋体" w:cs="宋体"/>
          <w:color w:val="000000"/>
          <w:sz w:val="24"/>
        </w:rPr>
        <w:t>经核实由中标人生产销售发生不良事件，形成舆情影响采购人公众形象或违反采购人规章制度造成不良影响，而由此产生的损失及消除影响产生的费用，由中标人全部承担并扣500元，并追究其法律责任。</w:t>
      </w:r>
    </w:p>
    <w:p w14:paraId="4AB5D908">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3）中标人未经医院同意不得私自外售药食同源产品，发现一次按5000元支付罚金，出现第二次私自外售的情况，采购人有权单方面终止合同，除此之外中标人还须支付违约金10000元，罚金可以从履约保证金中支付。</w:t>
      </w:r>
    </w:p>
    <w:p w14:paraId="197B3B0E">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4）供应商不得出现过期销售的情况，发现一次按5000元支付罚金，出现第二次过期销售的情况，采购人有权单方面终止合同，除此之外中标人还须支付罚金10000元，罚金可以从履约保证金中支付。第（2）点与第（4）点处罚内容存在重复，处罚标准不一致，需要修改。</w:t>
      </w:r>
    </w:p>
    <w:p w14:paraId="23537377">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5）供应商提供食品不得出现食品掺杂，以次充好等不符合产品质量要求等违约情形的，采购人有权单方决定供应商退货，并责令供应商提供符合要求的食品。采购人发现食品为伪劣食品的，发现一次处以5000元的罚金，并无条件退换，罚金可以从履约保证金中支付；发现两次的，采购人有权单方面解除合同，除此之外没收履约保证金10000元，给采购人造成严重损失的，还要承担相应的赔偿责任。</w:t>
      </w:r>
    </w:p>
    <w:p w14:paraId="7629AB0A">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6）供应商不得外购药材与私自添加其他配方，发现一次按5000元支付罚金，罚金可以从履约保证金中支付；出现第二次时，采购人有权单方面终止合同，除此之外中标人还须支付违约金10000元，并承担因此造成的法律责任。</w:t>
      </w:r>
    </w:p>
    <w:p w14:paraId="399A081F">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6.本项目服务期限为半年。</w:t>
      </w:r>
    </w:p>
    <w:p w14:paraId="68483173">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7.投标人必须提供在经营活动中没有违法记录的书面声明。</w:t>
      </w:r>
    </w:p>
    <w:p w14:paraId="2DA1BB1D">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8.本项目不接受联合体报价。</w:t>
      </w:r>
    </w:p>
    <w:p w14:paraId="2D365AF6">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9.成交通知：竞争性磋商结果将在福建中医药大学附属人民医院院内网、院外网的公告栏目内公示，公示期满无异议后，由采购人向中标人授予中标通知书。</w:t>
      </w:r>
    </w:p>
    <w:p w14:paraId="0B3AE2CE">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pPr>
    </w:p>
    <w:p w14:paraId="454BD712">
      <w:pPr>
        <w:pBdr>
          <w:top w:val="none" w:color="000000" w:sz="0" w:space="0"/>
          <w:left w:val="none" w:color="000000" w:sz="0" w:space="0"/>
          <w:bottom w:val="none" w:color="000000" w:sz="0" w:space="0"/>
          <w:right w:val="none" w:color="000000" w:sz="0" w:space="0"/>
        </w:pBdr>
        <w:spacing w:before="0" w:after="0"/>
        <w:ind w:left="0" w:right="0" w:firstLine="420"/>
      </w:pPr>
    </w:p>
    <w:p w14:paraId="09432123">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rPr>
          <w:rFonts w:ascii="宋体" w:hAnsi="宋体" w:eastAsia="宋体" w:cs="宋体"/>
          <w:b/>
          <w:color w:val="000000"/>
          <w:spacing w:val="-12"/>
          <w:sz w:val="36"/>
        </w:rPr>
      </w:pPr>
    </w:p>
    <w:p w14:paraId="253A68B6">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r>
        <w:rPr>
          <w:rFonts w:ascii="宋体" w:hAnsi="宋体" w:eastAsia="宋体" w:cs="宋体"/>
          <w:b/>
          <w:color w:val="000000"/>
          <w:spacing w:val="-12"/>
          <w:sz w:val="36"/>
        </w:rPr>
        <w:t>四、投标文件的要求</w:t>
      </w:r>
    </w:p>
    <w:p w14:paraId="2EAE45B5">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r>
        <w:rPr>
          <w:rFonts w:ascii="宋体" w:hAnsi="宋体" w:eastAsia="宋体" w:cs="宋体"/>
          <w:b/>
          <w:color w:val="000000"/>
          <w:sz w:val="21"/>
        </w:rPr>
        <w:t>（包含但不限于以下要求）</w:t>
      </w:r>
    </w:p>
    <w:p w14:paraId="422713C8">
      <w:pPr>
        <w:pBdr>
          <w:top w:val="none" w:color="000000" w:sz="0" w:space="0"/>
          <w:left w:val="none" w:color="000000" w:sz="0" w:space="0"/>
          <w:bottom w:val="none" w:color="000000" w:sz="0" w:space="0"/>
          <w:right w:val="none" w:color="000000" w:sz="0" w:space="0"/>
        </w:pBdr>
        <w:tabs>
          <w:tab w:val="left" w:pos="720"/>
        </w:tabs>
        <w:spacing w:before="0" w:after="0" w:line="520" w:lineRule="atLeast"/>
        <w:ind w:left="0" w:right="0" w:firstLine="434"/>
      </w:pPr>
      <w:r>
        <w:rPr>
          <w:rFonts w:ascii="宋体" w:hAnsi="宋体" w:eastAsia="宋体" w:cs="宋体"/>
          <w:b/>
          <w:color w:val="000000"/>
          <w:spacing w:val="-12"/>
          <w:sz w:val="24"/>
          <w:u w:val="single"/>
        </w:rPr>
        <w:t>供应商投标文件为一正三副，同时必须满足以下要求，否则视为无效投标。</w:t>
      </w:r>
    </w:p>
    <w:p w14:paraId="35627D2A">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1、报价表（放在投标文件首页）。</w:t>
      </w:r>
    </w:p>
    <w:p w14:paraId="60FC079C">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2、</w:t>
      </w:r>
      <w:r>
        <w:rPr>
          <w:rFonts w:ascii="宋体" w:hAnsi="宋体" w:eastAsia="宋体" w:cs="宋体"/>
          <w:color w:val="000000"/>
          <w:sz w:val="21"/>
        </w:rPr>
        <w:t>法定代表人身份证明书（格式）</w:t>
      </w:r>
    </w:p>
    <w:p w14:paraId="5B35C347">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3、法定代表人授权委托书原件并加盖公章(投标代表是法定代表人的无需提供)。</w:t>
      </w:r>
    </w:p>
    <w:p w14:paraId="5F7685DE">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4、法定代表人及投标代表的有效身份证复印件。</w:t>
      </w:r>
    </w:p>
    <w:p w14:paraId="1EAA87AB">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5、供应商有效期内营业执照复印件。</w:t>
      </w:r>
    </w:p>
    <w:p w14:paraId="32A90E1B">
      <w:pPr>
        <w:pBdr>
          <w:top w:val="none" w:color="000000" w:sz="0" w:space="0"/>
          <w:left w:val="none" w:color="000000" w:sz="0" w:space="0"/>
          <w:bottom w:val="none" w:color="000000" w:sz="0" w:space="0"/>
          <w:right w:val="none" w:color="000000" w:sz="0" w:space="0"/>
        </w:pBdr>
        <w:shd w:val="clear" w:color="FFFFFF" w:fill="FFFFFF"/>
        <w:spacing w:before="0" w:after="0" w:line="460" w:lineRule="atLeast"/>
        <w:ind w:left="0" w:right="0" w:firstLine="480"/>
      </w:pPr>
      <w:r>
        <w:rPr>
          <w:rFonts w:ascii="宋体" w:hAnsi="宋体" w:eastAsia="宋体" w:cs="宋体"/>
          <w:color w:val="000000"/>
          <w:sz w:val="24"/>
        </w:rPr>
        <w:t>6、提供食品生产许可证。</w:t>
      </w:r>
    </w:p>
    <w:p w14:paraId="27A5159A">
      <w:pPr>
        <w:pBdr>
          <w:top w:val="none" w:color="000000" w:sz="0" w:space="0"/>
          <w:left w:val="none" w:color="000000" w:sz="0" w:space="0"/>
          <w:bottom w:val="none" w:color="000000" w:sz="0" w:space="0"/>
          <w:right w:val="none" w:color="000000" w:sz="0" w:space="0"/>
        </w:pBdr>
        <w:shd w:val="clear" w:color="FFFFFF" w:fill="FFFFFF"/>
        <w:spacing w:before="0" w:after="0" w:line="460" w:lineRule="atLeast"/>
        <w:ind w:left="0" w:right="0" w:firstLine="480"/>
      </w:pPr>
      <w:r>
        <w:rPr>
          <w:rFonts w:ascii="宋体" w:hAnsi="宋体" w:eastAsia="宋体" w:cs="宋体"/>
          <w:color w:val="000000"/>
          <w:sz w:val="24"/>
        </w:rPr>
        <w:t>7、提供食品制售资质证明。</w:t>
      </w:r>
    </w:p>
    <w:p w14:paraId="7678632F">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8、服务承诺；</w:t>
      </w:r>
    </w:p>
    <w:p w14:paraId="0562358D">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9、供应商注意事项：</w:t>
      </w:r>
    </w:p>
    <w:p w14:paraId="2B94AA2A">
      <w:pPr>
        <w:pBdr>
          <w:top w:val="none" w:color="000000" w:sz="0" w:space="0"/>
          <w:left w:val="none" w:color="000000" w:sz="0" w:space="0"/>
          <w:bottom w:val="none" w:color="000000" w:sz="0" w:space="0"/>
          <w:right w:val="none" w:color="000000" w:sz="0" w:space="0"/>
        </w:pBdr>
        <w:spacing w:before="0" w:after="0" w:line="520" w:lineRule="atLeast"/>
        <w:ind w:left="0" w:right="0" w:firstLine="480"/>
      </w:pPr>
      <w:r>
        <w:rPr>
          <w:rFonts w:ascii="宋体" w:hAnsi="宋体" w:eastAsia="宋体" w:cs="宋体"/>
          <w:color w:val="000000"/>
          <w:sz w:val="24"/>
        </w:rPr>
        <w:t>（1）以上内容没有规定格式的请各供应商自行设计格式编写；</w:t>
      </w:r>
    </w:p>
    <w:p w14:paraId="33873BDE">
      <w:pPr>
        <w:pBdr>
          <w:top w:val="none" w:color="000000" w:sz="0" w:space="0"/>
          <w:left w:val="none" w:color="000000" w:sz="0" w:space="0"/>
          <w:bottom w:val="none" w:color="000000" w:sz="0" w:space="0"/>
          <w:right w:val="none" w:color="000000" w:sz="0" w:space="0"/>
        </w:pBdr>
        <w:spacing w:before="0" w:after="0" w:line="520" w:lineRule="atLeast"/>
        <w:ind w:left="0" w:right="0" w:firstLine="480"/>
      </w:pPr>
      <w:r>
        <w:rPr>
          <w:rFonts w:ascii="宋体" w:hAnsi="宋体" w:eastAsia="宋体" w:cs="宋体"/>
          <w:color w:val="000000"/>
          <w:sz w:val="24"/>
        </w:rPr>
        <w:t>（2）</w:t>
      </w:r>
      <w:r>
        <w:rPr>
          <w:rFonts w:ascii="宋体" w:hAnsi="宋体" w:eastAsia="宋体" w:cs="宋体"/>
          <w:color w:val="000000"/>
          <w:sz w:val="24"/>
          <w:u w:val="single"/>
        </w:rPr>
        <w:t>正本的每一页</w:t>
      </w:r>
      <w:r>
        <w:rPr>
          <w:rFonts w:ascii="宋体" w:hAnsi="宋体" w:eastAsia="宋体" w:cs="宋体"/>
          <w:color w:val="000000"/>
          <w:sz w:val="24"/>
        </w:rPr>
        <w:t>须加盖公章，以上材料须</w:t>
      </w:r>
      <w:r>
        <w:rPr>
          <w:rFonts w:ascii="宋体" w:hAnsi="宋体" w:eastAsia="宋体" w:cs="宋体"/>
          <w:color w:val="000000"/>
          <w:sz w:val="24"/>
          <w:u w:val="single"/>
        </w:rPr>
        <w:t>装订成册并密封</w:t>
      </w:r>
      <w:r>
        <w:rPr>
          <w:rFonts w:ascii="宋体" w:hAnsi="宋体" w:eastAsia="宋体" w:cs="宋体"/>
          <w:color w:val="000000"/>
          <w:sz w:val="24"/>
        </w:rPr>
        <w:t>。</w:t>
      </w:r>
    </w:p>
    <w:p w14:paraId="76061B50">
      <w:pPr>
        <w:pBdr>
          <w:top w:val="none" w:color="000000" w:sz="0" w:space="0"/>
          <w:left w:val="none" w:color="000000" w:sz="0" w:space="0"/>
          <w:bottom w:val="none" w:color="000000" w:sz="0" w:space="0"/>
          <w:right w:val="none" w:color="000000" w:sz="0" w:space="0"/>
        </w:pBdr>
        <w:spacing w:before="0" w:after="0"/>
        <w:ind w:left="0" w:right="0" w:firstLine="420"/>
      </w:pPr>
    </w:p>
    <w:p w14:paraId="05E56149">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b/>
          <w:color w:val="000000"/>
          <w:spacing w:val="-12"/>
          <w:sz w:val="36"/>
        </w:rPr>
      </w:pPr>
    </w:p>
    <w:p w14:paraId="330A0FE6">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b/>
          <w:color w:val="000000"/>
          <w:spacing w:val="-12"/>
          <w:sz w:val="36"/>
        </w:rPr>
      </w:pPr>
    </w:p>
    <w:p w14:paraId="1ADC79F7">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r>
        <w:rPr>
          <w:rFonts w:ascii="宋体" w:hAnsi="宋体" w:eastAsia="宋体" w:cs="宋体"/>
          <w:b/>
          <w:color w:val="000000"/>
          <w:spacing w:val="-12"/>
          <w:sz w:val="36"/>
        </w:rPr>
        <w:t>五、报价表</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619"/>
        <w:gridCol w:w="2087"/>
        <w:gridCol w:w="3436"/>
        <w:gridCol w:w="2380"/>
        <w:tblGridChange w:id="1">
          <w:tblGrid>
            <w:gridCol w:w="647"/>
            <w:gridCol w:w="2212"/>
            <w:gridCol w:w="3517"/>
            <w:gridCol w:w="2659"/>
          </w:tblGrid>
        </w:tblGridChange>
      </w:tblGrid>
      <w:tr w14:paraId="6166986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80" w:hRule="atLeast"/>
        </w:trPr>
        <w:tc>
          <w:tcPr>
            <w:tcW w:w="61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70A827A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序号</w:t>
            </w:r>
          </w:p>
        </w:tc>
        <w:tc>
          <w:tcPr>
            <w:tcW w:w="2087"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5E884B6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公司名称</w:t>
            </w:r>
          </w:p>
        </w:tc>
        <w:tc>
          <w:tcPr>
            <w:tcW w:w="343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2FAB26C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医院收取的技术指导费</w:t>
            </w:r>
          </w:p>
          <w:p w14:paraId="5FD2D01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扣除精算全成本，利润比例计算的招标</w:t>
            </w:r>
            <w:r>
              <w:rPr>
                <w:rFonts w:ascii="宋体" w:hAnsi="宋体" w:eastAsia="宋体" w:cs="宋体"/>
                <w:color w:val="000000"/>
                <w:sz w:val="24"/>
              </w:rPr>
              <w:t>控制底价</w:t>
            </w:r>
          </w:p>
        </w:tc>
        <w:tc>
          <w:tcPr>
            <w:tcW w:w="2380"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4386F5B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报价（按百分比例报价，单位%）</w:t>
            </w:r>
          </w:p>
        </w:tc>
      </w:tr>
      <w:tr w14:paraId="564416A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8" w:hRule="atLeast"/>
        </w:trPr>
        <w:tc>
          <w:tcPr>
            <w:tcW w:w="61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723972E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w:t>
            </w:r>
          </w:p>
        </w:tc>
        <w:tc>
          <w:tcPr>
            <w:tcW w:w="2087"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6798F77">
            <w:pPr>
              <w:pBdr>
                <w:top w:val="none" w:color="000000" w:sz="0" w:space="0"/>
                <w:left w:val="none" w:color="000000" w:sz="0" w:space="0"/>
                <w:bottom w:val="none" w:color="000000" w:sz="0" w:space="0"/>
                <w:right w:val="none" w:color="000000" w:sz="0" w:space="0"/>
              </w:pBdr>
              <w:spacing w:before="0" w:after="0" w:line="240" w:lineRule="auto"/>
              <w:ind w:left="0" w:right="0" w:firstLine="0"/>
            </w:pPr>
          </w:p>
        </w:tc>
        <w:tc>
          <w:tcPr>
            <w:tcW w:w="34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1685F33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50%</w:t>
            </w:r>
          </w:p>
        </w:tc>
        <w:tc>
          <w:tcPr>
            <w:tcW w:w="2380"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F28D4A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w:t>
            </w:r>
          </w:p>
        </w:tc>
      </w:tr>
      <w:tr w14:paraId="5F680F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273" w:hRule="atLeast"/>
        </w:trPr>
        <w:tc>
          <w:tcPr>
            <w:tcW w:w="8522" w:type="dxa"/>
            <w:gridSpan w:val="4"/>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2FD2F523">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备注：</w:t>
            </w:r>
          </w:p>
          <w:p w14:paraId="2AAC51F1">
            <w:pPr>
              <w:numPr>
                <w:ilvl w:val="0"/>
                <w:numId w:val="4"/>
              </w:numPr>
              <w:pBdr>
                <w:top w:val="none" w:color="000000" w:sz="0" w:space="0"/>
                <w:left w:val="none" w:color="000000" w:sz="0" w:space="0"/>
                <w:bottom w:val="none" w:color="000000" w:sz="0" w:space="0"/>
                <w:right w:val="none" w:color="000000" w:sz="0" w:space="0"/>
              </w:pBdr>
              <w:spacing w:before="0" w:after="0" w:line="240" w:lineRule="auto"/>
            </w:pPr>
            <w:r>
              <w:rPr>
                <w:rFonts w:ascii="宋体" w:hAnsi="宋体" w:eastAsia="宋体" w:cs="宋体"/>
                <w:color w:val="000000"/>
                <w:sz w:val="24"/>
              </w:rPr>
              <w:t>精算全成本不包含设备、场地、包装、运输、搬运、检测（若有）、销售人工、调换、税金等费用，以及政策性文件规定的各项应有费用，供应商需自行承担，医院不另行计算支付。</w:t>
            </w:r>
          </w:p>
        </w:tc>
      </w:tr>
    </w:tbl>
    <w:p w14:paraId="68337DCD">
      <w:pPr>
        <w:pBdr>
          <w:top w:val="none" w:color="000000" w:sz="0" w:space="0"/>
          <w:left w:val="none" w:color="000000" w:sz="0" w:space="0"/>
          <w:bottom w:val="none" w:color="000000" w:sz="0" w:space="0"/>
          <w:right w:val="none" w:color="000000" w:sz="0" w:space="0"/>
        </w:pBdr>
        <w:spacing w:before="0" w:after="0"/>
        <w:ind w:left="0" w:right="0" w:firstLine="420"/>
      </w:pPr>
    </w:p>
    <w:p w14:paraId="15F524D1">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10BE86A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法定代表人身份证明书（格式）</w:t>
      </w:r>
    </w:p>
    <w:p w14:paraId="2ED062E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0EF774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rPr>
        <w:t>（法定代表人姓名）在（供应商名称）任（职务名称）职务，是（供应商名称）的法定代表人。</w:t>
      </w:r>
    </w:p>
    <w:p w14:paraId="68CE855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5B32B24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08966CF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42D312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868419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5FC592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32E4A58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BCCCD9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（供应商全称）</w:t>
      </w:r>
    </w:p>
    <w:p w14:paraId="77EED64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3AF53D5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11CBC79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6964FF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3816AA6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3182C04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65C2596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2B5FEE8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0D6B40E7">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6D2671A8">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2C060AF">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3393BFD9">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57F6DCAA">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A53E0BF">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7D7696A3">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3F1310FB">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166ABDD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56FE36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法定代表人授权委托书（格式）</w:t>
      </w:r>
    </w:p>
    <w:p w14:paraId="6BD9469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B5A716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5651D28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5C04E7B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4286E0A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_____________________（供应商名称）是中华人民共和国合法企业，法定地址______________________________。</w:t>
      </w:r>
    </w:p>
    <w:p w14:paraId="335A4F8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_______（供应商法定代表人姓名）特授权（被授权人姓名及身份证代码）代表我单位全权办理对上述项目的投标、签约等具体工作，并签署全部有关的文件、协议及合同。</w:t>
      </w:r>
    </w:p>
    <w:p w14:paraId="6857EA6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5E372C6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099027B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20C53F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EE8B14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2B96D22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5C8A9ED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BB3B26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供应商公章：</w:t>
      </w:r>
    </w:p>
    <w:p w14:paraId="5ABF3D4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5FFCBD15">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pPr>
      <w:r>
        <w:rPr>
          <w:rFonts w:ascii="宋体" w:hAnsi="宋体" w:eastAsia="宋体" w:cs="宋体"/>
          <w:color w:val="000000"/>
          <w:sz w:val="24"/>
        </w:rPr>
        <w:tab/>
      </w:r>
    </w:p>
    <w:p w14:paraId="29FBED4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54B3F5C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4EBD9D2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07E67C1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711EDC3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3401D78">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66413E1C">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72EEE05E">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quot;Times New Roman&quot;">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5"/>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59ADCABA"/>
    <w:multiLevelType w:val="multilevel"/>
    <w:tmpl w:val="59ADCABA"/>
    <w:lvl w:ilvl="0" w:tentative="0">
      <w:start w:val="1"/>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62B7C"/>
    <w:rsid w:val="516E79EA"/>
    <w:rsid w:val="6E294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basedOn w:val="30"/>
    <w:semiHidden/>
    <w:unhideWhenUsed/>
    <w:qFormat/>
    <w:uiPriority w:val="99"/>
    <w:rPr>
      <w:vertAlign w:val="superscript"/>
    </w:rPr>
  </w:style>
  <w:style w:type="character" w:styleId="32">
    <w:name w:val="Hyperlink"/>
    <w:unhideWhenUsed/>
    <w:qFormat/>
    <w:uiPriority w:val="99"/>
    <w:rPr>
      <w:color w:val="0026E5"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uiPriority w:val="9"/>
    <w:rPr>
      <w:rFonts w:ascii="Arial" w:hAnsi="Arial" w:eastAsia="Arial" w:cs="Arial"/>
      <w:sz w:val="40"/>
      <w:szCs w:val="40"/>
    </w:rPr>
  </w:style>
  <w:style w:type="character" w:customStyle="1" w:styleId="35">
    <w:name w:val="Heading 2 Char"/>
    <w:basedOn w:val="30"/>
    <w:link w:val="3"/>
    <w:uiPriority w:val="9"/>
    <w:rPr>
      <w:rFonts w:ascii="Arial" w:hAnsi="Arial" w:eastAsia="Arial" w:cs="Arial"/>
      <w:sz w:val="34"/>
    </w:rPr>
  </w:style>
  <w:style w:type="character" w:customStyle="1" w:styleId="36">
    <w:name w:val="Heading 3 Char"/>
    <w:basedOn w:val="30"/>
    <w:link w:val="4"/>
    <w:uiPriority w:val="9"/>
    <w:rPr>
      <w:rFonts w:ascii="Arial" w:hAnsi="Arial" w:eastAsia="Arial" w:cs="Arial"/>
      <w:sz w:val="30"/>
      <w:szCs w:val="30"/>
    </w:rPr>
  </w:style>
  <w:style w:type="character" w:customStyle="1" w:styleId="37">
    <w:name w:val="Heading 4 Char"/>
    <w:basedOn w:val="30"/>
    <w:link w:val="5"/>
    <w:uiPriority w:val="9"/>
    <w:rPr>
      <w:rFonts w:ascii="Arial" w:hAnsi="Arial" w:eastAsia="Arial" w:cs="Arial"/>
      <w:b/>
      <w:bCs/>
      <w:sz w:val="26"/>
      <w:szCs w:val="26"/>
    </w:rPr>
  </w:style>
  <w:style w:type="character" w:customStyle="1" w:styleId="38">
    <w:name w:val="Heading 5 Char"/>
    <w:basedOn w:val="30"/>
    <w:link w:val="6"/>
    <w:uiPriority w:val="9"/>
    <w:rPr>
      <w:rFonts w:ascii="Arial" w:hAnsi="Arial" w:eastAsia="Arial" w:cs="Arial"/>
      <w:b/>
      <w:bCs/>
      <w:sz w:val="24"/>
      <w:szCs w:val="24"/>
    </w:rPr>
  </w:style>
  <w:style w:type="character" w:customStyle="1" w:styleId="39">
    <w:name w:val="Heading 6 Char"/>
    <w:basedOn w:val="30"/>
    <w:link w:val="7"/>
    <w:uiPriority w:val="9"/>
    <w:rPr>
      <w:rFonts w:ascii="Arial" w:hAnsi="Arial" w:eastAsia="Arial" w:cs="Arial"/>
      <w:b/>
      <w:bCs/>
      <w:sz w:val="22"/>
      <w:szCs w:val="22"/>
    </w:rPr>
  </w:style>
  <w:style w:type="character" w:customStyle="1" w:styleId="40">
    <w:name w:val="Heading 7 Char"/>
    <w:basedOn w:val="30"/>
    <w:link w:val="8"/>
    <w:qFormat/>
    <w:uiPriority w:val="9"/>
    <w:rPr>
      <w:rFonts w:ascii="Arial" w:hAnsi="Arial" w:eastAsia="Arial" w:cs="Arial"/>
      <w:b/>
      <w:bCs/>
      <w:i/>
      <w:iCs/>
      <w:sz w:val="22"/>
      <w:szCs w:val="22"/>
    </w:rPr>
  </w:style>
  <w:style w:type="character" w:customStyle="1" w:styleId="41">
    <w:name w:val="Heading 8 Char"/>
    <w:basedOn w:val="30"/>
    <w:link w:val="9"/>
    <w:uiPriority w:val="9"/>
    <w:rPr>
      <w:rFonts w:ascii="Arial" w:hAnsi="Arial" w:eastAsia="Arial" w:cs="Arial"/>
      <w:i/>
      <w:iCs/>
      <w:sz w:val="22"/>
      <w:szCs w:val="22"/>
    </w:rPr>
  </w:style>
  <w:style w:type="character" w:customStyle="1" w:styleId="42">
    <w:name w:val="Heading 9 Char"/>
    <w:basedOn w:val="30"/>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30"/>
    <w:link w:val="18"/>
    <w:qFormat/>
    <w:uiPriority w:val="99"/>
  </w:style>
  <w:style w:type="character" w:customStyle="1" w:styleId="52">
    <w:name w:val="Footer Char"/>
    <w:basedOn w:val="30"/>
    <w:link w:val="17"/>
    <w:qFormat/>
    <w:uiPriority w:val="99"/>
  </w:style>
  <w:style w:type="character" w:customStyle="1" w:styleId="53">
    <w:name w:val="Caption Char"/>
    <w:link w:val="17"/>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2">
    <w:name w:val="Grid Table 1 Light - Accent 2"/>
    <w:basedOn w:val="28"/>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3">
    <w:name w:val="Grid Table 1 Light - Accent 3"/>
    <w:basedOn w:val="28"/>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4">
    <w:name w:val="Grid Table 1 Light - Accent 4"/>
    <w:basedOn w:val="28"/>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5">
    <w:name w:val="Grid Table 1 Light - Accent 5"/>
    <w:basedOn w:val="28"/>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6">
    <w:name w:val="Grid Table 1 Light - Accent 6"/>
    <w:basedOn w:val="28"/>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7">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69">
    <w:name w:val="Grid Table 2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0">
    <w:name w:val="Grid Table 2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1">
    <w:name w:val="Grid Table 2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2">
    <w:name w:val="Grid Table 2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3">
    <w:name w:val="Grid Table 2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6">
    <w:name w:val="Grid Table 3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7">
    <w:name w:val="Grid Table 3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8">
    <w:name w:val="Grid Table 3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9">
    <w:name w:val="Grid Table 3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0">
    <w:name w:val="Grid Table 3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3">
    <w:name w:val="Grid Table 4 - Accent 2"/>
    <w:basedOn w:val="28"/>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4">
    <w:name w:val="Grid Table 4 - Accent 3"/>
    <w:basedOn w:val="28"/>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5">
    <w:name w:val="Grid Table 4 - Accent 4"/>
    <w:basedOn w:val="28"/>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6">
    <w:name w:val="Grid Table 4 - Accent 5"/>
    <w:basedOn w:val="28"/>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7">
    <w:name w:val="Grid Table 4 - Accent 6"/>
    <w:basedOn w:val="28"/>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0">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1">
    <w:name w:val="Grid Table 6 Colorful - Accent 6"/>
    <w:basedOn w:val="28"/>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2">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8">
    <w:name w:val="Grid Table 7 Colorful - Accent 6"/>
    <w:basedOn w:val="28"/>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09">
    <w:name w:val="List Table 1 Light"/>
    <w:basedOn w:val="28"/>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qFormat/>
    <w:uiPriority w:val="99"/>
    <w:pPr>
      <w:spacing w:after="0" w:line="240" w:lineRule="auto"/>
    </w:pP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1">
    <w:name w:val="List Table 1 Light - Accent 2"/>
    <w:basedOn w:val="28"/>
    <w:qFormat/>
    <w:uiPriority w:val="99"/>
    <w:pPr>
      <w:spacing w:after="0" w:line="240" w:lineRule="auto"/>
    </w:pP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2">
    <w:name w:val="List Table 1 Light - Accent 3"/>
    <w:basedOn w:val="28"/>
    <w:qFormat/>
    <w:uiPriority w:val="99"/>
    <w:pPr>
      <w:spacing w:after="0" w:line="240" w:lineRule="auto"/>
    </w:pP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3">
    <w:name w:val="List Table 1 Light - Accent 4"/>
    <w:basedOn w:val="28"/>
    <w:qFormat/>
    <w:uiPriority w:val="99"/>
    <w:pPr>
      <w:spacing w:after="0" w:line="240" w:lineRule="auto"/>
    </w:pP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4">
    <w:name w:val="List Table 1 Light - Accent 5"/>
    <w:basedOn w:val="28"/>
    <w:qFormat/>
    <w:uiPriority w:val="99"/>
    <w:pPr>
      <w:spacing w:after="0" w:line="240" w:lineRule="auto"/>
    </w:pP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5">
    <w:name w:val="List Table 1 Light - Accent 6"/>
    <w:basedOn w:val="28"/>
    <w:qFormat/>
    <w:uiPriority w:val="99"/>
    <w:pPr>
      <w:spacing w:after="0" w:line="240" w:lineRule="auto"/>
    </w:pP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6">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18">
    <w:name w:val="List Table 2 - Accent 2"/>
    <w:basedOn w:val="28"/>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19">
    <w:name w:val="List Table 2 - Accent 3"/>
    <w:basedOn w:val="28"/>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0">
    <w:name w:val="List Table 2 - Accent 4"/>
    <w:basedOn w:val="28"/>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1">
    <w:name w:val="List Table 2 - Accent 5"/>
    <w:basedOn w:val="28"/>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2">
    <w:name w:val="List Table 2 - Accent 6"/>
    <w:basedOn w:val="28"/>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3">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5">
    <w:name w:val="List Table 3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6">
    <w:name w:val="List Table 3 - Accent 3"/>
    <w:basedOn w:val="28"/>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7">
    <w:name w:val="List Table 3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28">
    <w:name w:val="List Table 3 - Accent 5"/>
    <w:basedOn w:val="28"/>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29">
    <w:name w:val="List Table 3 - Accent 6"/>
    <w:basedOn w:val="28"/>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0">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2">
    <w:name w:val="List Table 4 - Accent 2"/>
    <w:basedOn w:val="28"/>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3">
    <w:name w:val="List Table 4 - Accent 3"/>
    <w:basedOn w:val="28"/>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4">
    <w:name w:val="List Table 4 - Accent 4"/>
    <w:basedOn w:val="28"/>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5">
    <w:name w:val="List Table 4 - Accent 5"/>
    <w:basedOn w:val="28"/>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6">
    <w:name w:val="List Table 4 - Accent 6"/>
    <w:basedOn w:val="28"/>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7">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39">
    <w:name w:val="List Table 5 Dark - Accent 2"/>
    <w:basedOn w:val="28"/>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0">
    <w:name w:val="List Table 5 Dark - Accent 3"/>
    <w:basedOn w:val="28"/>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1">
    <w:name w:val="List Table 5 Dark - Accent 4"/>
    <w:basedOn w:val="28"/>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2">
    <w:name w:val="List Table 5 Dark - Accent 5"/>
    <w:basedOn w:val="28"/>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3">
    <w:name w:val="List Table 5 Dark - Accent 6"/>
    <w:basedOn w:val="28"/>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4">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6">
    <w:name w:val="List Table 6 Colorful - Accent 2"/>
    <w:basedOn w:val="28"/>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3">
    <w:name w:val="List Table 7 Colorful - Accent 2"/>
    <w:basedOn w:val="28"/>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qFormat/>
    <w:uiPriority w:val="99"/>
    <w:pPr>
      <w:spacing w:after="0" w:line="240" w:lineRule="auto"/>
    </w:pPr>
    <w:rPr>
      <w:color w:val="404040"/>
    </w:rP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0">
    <w:name w:val="Lined - Accent 2"/>
    <w:basedOn w:val="28"/>
    <w:qFormat/>
    <w:uiPriority w:val="99"/>
    <w:pPr>
      <w:spacing w:after="0" w:line="240" w:lineRule="auto"/>
    </w:pPr>
    <w:rPr>
      <w:color w:val="404040"/>
    </w:rP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1">
    <w:name w:val="Lined - Accent 3"/>
    <w:basedOn w:val="28"/>
    <w:qFormat/>
    <w:uiPriority w:val="99"/>
    <w:pPr>
      <w:spacing w:after="0" w:line="240" w:lineRule="auto"/>
    </w:pPr>
    <w:rPr>
      <w:color w:val="404040"/>
    </w:rP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2">
    <w:name w:val="Lined - Accent 4"/>
    <w:basedOn w:val="28"/>
    <w:qFormat/>
    <w:uiPriority w:val="99"/>
    <w:pPr>
      <w:spacing w:after="0" w:line="240" w:lineRule="auto"/>
    </w:pPr>
    <w:rPr>
      <w:color w:val="404040"/>
    </w:rP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3">
    <w:name w:val="Lined - Accent 5"/>
    <w:basedOn w:val="28"/>
    <w:qFormat/>
    <w:uiPriority w:val="99"/>
    <w:pPr>
      <w:spacing w:after="0" w:line="240" w:lineRule="auto"/>
    </w:pPr>
    <w:rPr>
      <w:color w:val="404040"/>
    </w:rP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4">
    <w:name w:val="Lined - Accent 6"/>
    <w:basedOn w:val="28"/>
    <w:qFormat/>
    <w:uiPriority w:val="99"/>
    <w:pPr>
      <w:spacing w:after="0" w:line="240" w:lineRule="auto"/>
    </w:pPr>
    <w:rPr>
      <w:color w:val="404040"/>
    </w:rP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5">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7">
    <w:name w:val="Bordered &amp; Lined - Accent 2"/>
    <w:basedOn w:val="28"/>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8">
    <w:name w:val="Bordered &amp; Lined - Accent 3"/>
    <w:basedOn w:val="28"/>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9">
    <w:name w:val="Bordered &amp; Lined - Accent 4"/>
    <w:basedOn w:val="28"/>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0">
    <w:name w:val="Bordered &amp; Lined - Accent 5"/>
    <w:basedOn w:val="28"/>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1">
    <w:name w:val="Bordered &amp; Lined - Accent 6"/>
    <w:basedOn w:val="28"/>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2">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4">
    <w:name w:val="Bordered - Accent 2"/>
    <w:basedOn w:val="28"/>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5">
    <w:name w:val="Bordered - Accent 3"/>
    <w:basedOn w:val="28"/>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6">
    <w:name w:val="Bordered - Accent 4"/>
    <w:basedOn w:val="28"/>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7">
    <w:name w:val="Bordered - Accent 5"/>
    <w:basedOn w:val="28"/>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78">
    <w:name w:val="Bordered - Accent 6"/>
    <w:basedOn w:val="28"/>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765</Words>
  <Characters>810</Characters>
  <TotalTime>0</TotalTime>
  <ScaleCrop>false</ScaleCrop>
  <LinksUpToDate>false</LinksUpToDate>
  <CharactersWithSpaces>843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2025-11-10T07:33:50Z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606BCA94D3044818B6F9FA65389932F5_11</vt:lpwstr>
  </property>
  <property fmtid="{D5CDD505-2E9C-101B-9397-08002B2CF9AE}" pid="4" name="KSOTemplateDocerSaveRecord">
    <vt:lpwstr>eyJoZGlkIjoiZWY4YTdjODU0OTdjMzNhMjAwOTY1ZGY2MTViMWM4NGMiLCJ1c2VySWQiOiI2OTQ4MTc1NDIifQ==</vt:lpwstr>
  </property>
</Properties>
</file>