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068A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福建中医药大学</w:t>
      </w:r>
    </w:p>
    <w:p w14:paraId="09FE521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附属人民医院</w:t>
      </w:r>
    </w:p>
    <w:p w14:paraId="7E47F99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5B6B9E3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84"/>
        </w:rPr>
        <w:t>公开招标文件</w:t>
      </w:r>
    </w:p>
    <w:p w14:paraId="0E989DFD">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59E922E5">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4EDC1823">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77F0711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院内招标：闽人院购后[2025]</w:t>
      </w:r>
      <w:r>
        <w:rPr>
          <w:rFonts w:hint="eastAsia" w:ascii="宋体" w:hAnsi="宋体" w:eastAsia="宋体" w:cs="宋体"/>
          <w:b/>
          <w:color w:val="000000"/>
          <w:sz w:val="28"/>
          <w:lang w:val="en-US" w:eastAsia="zh-CN"/>
        </w:rPr>
        <w:t>17</w:t>
      </w:r>
      <w:r>
        <w:rPr>
          <w:rFonts w:ascii="宋体" w:hAnsi="宋体" w:eastAsia="宋体" w:cs="宋体"/>
          <w:b/>
          <w:color w:val="000000"/>
          <w:sz w:val="28"/>
        </w:rPr>
        <w:t>号</w:t>
      </w:r>
    </w:p>
    <w:p w14:paraId="3247FAB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 xml:space="preserve"> 项目名称：太平间工作人员配置服务采购项目</w:t>
      </w:r>
    </w:p>
    <w:p w14:paraId="0B79366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2A5B90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34A6BB6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5197B69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928C08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采购人：福建中医药大学附属人民医院</w:t>
      </w:r>
    </w:p>
    <w:p w14:paraId="2F21F13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 xml:space="preserve">   2025年11月</w:t>
      </w:r>
    </w:p>
    <w:p w14:paraId="430946C7">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br w:type="page" w:clear="all"/>
      </w:r>
    </w:p>
    <w:p w14:paraId="1A1D6412">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一、公开招标邀请</w:t>
      </w:r>
    </w:p>
    <w:p w14:paraId="786C0265">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福建中医药大学附属人民医院对</w:t>
      </w:r>
      <w:r>
        <w:rPr>
          <w:rFonts w:ascii="宋体" w:hAnsi="宋体" w:eastAsia="宋体" w:cs="宋体"/>
          <w:color w:val="000000"/>
          <w:sz w:val="24"/>
          <w:u w:val="single"/>
        </w:rPr>
        <w:t>太平间工作人员配置服务采购</w:t>
      </w:r>
      <w:r>
        <w:rPr>
          <w:rFonts w:ascii="宋体" w:hAnsi="宋体" w:eastAsia="宋体" w:cs="宋体"/>
          <w:color w:val="000000"/>
          <w:sz w:val="24"/>
        </w:rPr>
        <w:t>项目进行院内公开招标采购，现欢迎有能力提供产品的供应商前来提交密封的报价。</w:t>
      </w:r>
    </w:p>
    <w:p w14:paraId="3886FD14">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1.公示时间：2025年</w:t>
      </w:r>
      <w:r>
        <w:rPr>
          <w:rFonts w:hint="eastAsia" w:ascii="宋体" w:hAnsi="宋体" w:eastAsia="宋体" w:cs="宋体"/>
          <w:color w:val="000000"/>
          <w:sz w:val="24"/>
          <w:lang w:val="en-US" w:eastAsia="zh-CN"/>
        </w:rPr>
        <w:t>11</w:t>
      </w:r>
      <w:r>
        <w:rPr>
          <w:rFonts w:ascii="宋体" w:hAnsi="宋体" w:eastAsia="宋体" w:cs="宋体"/>
          <w:color w:val="000000"/>
          <w:sz w:val="24"/>
        </w:rPr>
        <w:t>月</w:t>
      </w:r>
      <w:r>
        <w:rPr>
          <w:rFonts w:hint="eastAsia" w:ascii="宋体" w:hAnsi="宋体" w:eastAsia="宋体" w:cs="宋体"/>
          <w:color w:val="000000"/>
          <w:sz w:val="24"/>
          <w:lang w:val="en-US" w:eastAsia="zh-CN"/>
        </w:rPr>
        <w:t>19</w:t>
      </w:r>
      <w:r>
        <w:rPr>
          <w:rFonts w:ascii="宋体" w:hAnsi="宋体" w:eastAsia="宋体" w:cs="宋体"/>
          <w:color w:val="000000"/>
          <w:sz w:val="24"/>
        </w:rPr>
        <w:t>日-2025年</w:t>
      </w:r>
      <w:r>
        <w:rPr>
          <w:rFonts w:hint="eastAsia" w:ascii="宋体" w:hAnsi="宋体" w:eastAsia="宋体" w:cs="宋体"/>
          <w:color w:val="000000"/>
          <w:sz w:val="24"/>
          <w:lang w:val="en-US" w:eastAsia="zh-CN"/>
        </w:rPr>
        <w:t>11</w:t>
      </w:r>
      <w:r>
        <w:rPr>
          <w:rFonts w:ascii="宋体" w:hAnsi="宋体" w:eastAsia="宋体" w:cs="宋体"/>
          <w:color w:val="000000"/>
          <w:sz w:val="24"/>
        </w:rPr>
        <w:t>月</w:t>
      </w:r>
      <w:r>
        <w:rPr>
          <w:rFonts w:hint="eastAsia" w:ascii="宋体" w:hAnsi="宋体" w:eastAsia="宋体" w:cs="宋体"/>
          <w:color w:val="000000"/>
          <w:sz w:val="24"/>
          <w:lang w:val="en-US" w:eastAsia="zh-CN"/>
        </w:rPr>
        <w:t>25</w:t>
      </w:r>
      <w:r>
        <w:rPr>
          <w:rFonts w:ascii="宋体" w:hAnsi="宋体" w:eastAsia="宋体" w:cs="宋体"/>
          <w:color w:val="000000"/>
          <w:sz w:val="24"/>
        </w:rPr>
        <w:t>日。</w:t>
      </w:r>
    </w:p>
    <w:p w14:paraId="71DAE676">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2.递交投标文件截止时间：2025年</w:t>
      </w:r>
      <w:r>
        <w:rPr>
          <w:rFonts w:hint="eastAsia" w:ascii="宋体" w:hAnsi="宋体" w:eastAsia="宋体" w:cs="宋体"/>
          <w:color w:val="000000"/>
          <w:sz w:val="24"/>
          <w:lang w:val="en-US" w:eastAsia="zh-CN"/>
        </w:rPr>
        <w:t>12</w:t>
      </w:r>
      <w:r>
        <w:rPr>
          <w:rFonts w:ascii="宋体" w:hAnsi="宋体" w:eastAsia="宋体" w:cs="宋体"/>
          <w:color w:val="000000"/>
          <w:sz w:val="24"/>
        </w:rPr>
        <w:t>月</w:t>
      </w:r>
      <w:r>
        <w:rPr>
          <w:rFonts w:hint="eastAsia" w:ascii="宋体" w:hAnsi="宋体" w:eastAsia="宋体" w:cs="宋体"/>
          <w:color w:val="000000"/>
          <w:sz w:val="24"/>
          <w:lang w:val="en-US" w:eastAsia="zh-CN"/>
        </w:rPr>
        <w:t>01</w:t>
      </w:r>
      <w:r>
        <w:rPr>
          <w:rFonts w:ascii="宋体" w:hAnsi="宋体" w:eastAsia="宋体" w:cs="宋体"/>
          <w:color w:val="000000"/>
          <w:sz w:val="24"/>
        </w:rPr>
        <w:t>日，</w:t>
      </w:r>
      <w:r>
        <w:rPr>
          <w:rFonts w:hint="eastAsia" w:ascii="宋体" w:hAnsi="宋体" w:eastAsia="宋体" w:cs="宋体"/>
          <w:color w:val="000000"/>
          <w:sz w:val="24"/>
          <w:lang w:val="en-US" w:eastAsia="zh-CN"/>
        </w:rPr>
        <w:t>上午09:30（</w:t>
      </w:r>
      <w:r>
        <w:rPr>
          <w:rFonts w:ascii="宋体" w:hAnsi="宋体" w:eastAsia="宋体" w:cs="宋体"/>
          <w:color w:val="000000"/>
          <w:sz w:val="24"/>
        </w:rPr>
        <w:t xml:space="preserve">北京时间）。超过递交截止时间递交的投标文件恕不接受。投标文件递交后概不退还，逾期送达（以签到为准）、未送达指定地点及未按公开招标文件要求密封的投标文件均不予接受。 </w:t>
      </w:r>
    </w:p>
    <w:p w14:paraId="493D3D1D">
      <w:pPr>
        <w:pBdr>
          <w:top w:val="none" w:color="000000" w:sz="0" w:space="0"/>
          <w:left w:val="none" w:color="000000" w:sz="0" w:space="0"/>
          <w:bottom w:val="none" w:color="000000" w:sz="0" w:space="0"/>
          <w:right w:val="none" w:color="000000" w:sz="0" w:space="0"/>
        </w:pBdr>
        <w:spacing w:before="0" w:after="0" w:line="360" w:lineRule="auto"/>
        <w:ind w:left="357" w:right="0" w:firstLine="0"/>
        <w:rPr>
          <w:b/>
          <w:bCs/>
        </w:rPr>
      </w:pPr>
      <w:r>
        <w:rPr>
          <w:rFonts w:ascii="宋体" w:hAnsi="宋体" w:eastAsia="宋体" w:cs="宋体"/>
          <w:color w:val="000000"/>
          <w:sz w:val="24"/>
        </w:rPr>
        <w:t xml:space="preserve"> 3.评标开始时间：</w:t>
      </w:r>
      <w:r>
        <w:rPr>
          <w:rFonts w:ascii="宋体" w:hAnsi="宋体" w:eastAsia="宋体" w:cs="宋体"/>
          <w:b/>
          <w:bCs/>
          <w:color w:val="000000"/>
          <w:sz w:val="24"/>
        </w:rPr>
        <w:t>2025年</w:t>
      </w:r>
      <w:r>
        <w:rPr>
          <w:rFonts w:hint="eastAsia" w:ascii="宋体" w:hAnsi="宋体" w:eastAsia="宋体" w:cs="宋体"/>
          <w:b/>
          <w:bCs/>
          <w:color w:val="000000"/>
          <w:sz w:val="24"/>
          <w:lang w:val="en-US" w:eastAsia="zh-CN"/>
        </w:rPr>
        <w:t>12</w:t>
      </w:r>
      <w:r>
        <w:rPr>
          <w:rFonts w:ascii="宋体" w:hAnsi="宋体" w:eastAsia="宋体" w:cs="宋体"/>
          <w:b/>
          <w:bCs/>
          <w:color w:val="000000"/>
          <w:sz w:val="24"/>
        </w:rPr>
        <w:t>月</w:t>
      </w:r>
      <w:r>
        <w:rPr>
          <w:rFonts w:hint="eastAsia" w:ascii="宋体" w:hAnsi="宋体" w:eastAsia="宋体" w:cs="宋体"/>
          <w:b/>
          <w:bCs/>
          <w:color w:val="000000"/>
          <w:sz w:val="24"/>
          <w:lang w:val="en-US" w:eastAsia="zh-CN"/>
        </w:rPr>
        <w:t>01</w:t>
      </w:r>
      <w:r>
        <w:rPr>
          <w:rFonts w:ascii="宋体" w:hAnsi="宋体" w:eastAsia="宋体" w:cs="宋体"/>
          <w:b/>
          <w:bCs/>
          <w:color w:val="000000"/>
          <w:sz w:val="24"/>
        </w:rPr>
        <w:t>日，</w:t>
      </w:r>
      <w:r>
        <w:rPr>
          <w:rFonts w:hint="eastAsia" w:ascii="宋体" w:hAnsi="宋体" w:eastAsia="宋体" w:cs="宋体"/>
          <w:b/>
          <w:bCs/>
          <w:color w:val="000000"/>
          <w:sz w:val="24"/>
          <w:lang w:val="en-US" w:eastAsia="zh-CN"/>
        </w:rPr>
        <w:t>上午09:30（</w:t>
      </w:r>
      <w:r>
        <w:rPr>
          <w:rFonts w:ascii="宋体" w:hAnsi="宋体" w:eastAsia="宋体" w:cs="宋体"/>
          <w:b/>
          <w:bCs/>
          <w:color w:val="000000"/>
          <w:sz w:val="24"/>
        </w:rPr>
        <w:t>北京时间）。</w:t>
      </w:r>
      <w:bookmarkStart w:id="0" w:name="_GoBack"/>
      <w:bookmarkEnd w:id="0"/>
    </w:p>
    <w:p w14:paraId="68BD128E">
      <w:pPr>
        <w:pBdr>
          <w:top w:val="none" w:color="000000" w:sz="0" w:space="0"/>
          <w:left w:val="none" w:color="000000" w:sz="0" w:space="0"/>
          <w:bottom w:val="none" w:color="000000" w:sz="0" w:space="0"/>
          <w:right w:val="none" w:color="000000" w:sz="0" w:space="0"/>
        </w:pBdr>
        <w:spacing w:before="0" w:after="0" w:line="360" w:lineRule="auto"/>
        <w:ind w:left="357" w:right="0" w:firstLine="120"/>
      </w:pPr>
      <w:r>
        <w:rPr>
          <w:rFonts w:ascii="宋体" w:hAnsi="宋体" w:eastAsia="宋体" w:cs="宋体"/>
          <w:color w:val="000000"/>
          <w:sz w:val="24"/>
        </w:rPr>
        <w:t>4.评标地点：</w:t>
      </w:r>
      <w:r>
        <w:rPr>
          <w:rFonts w:ascii="宋体" w:hAnsi="宋体" w:eastAsia="宋体" w:cs="宋体"/>
          <w:color w:val="000000"/>
          <w:spacing w:val="-6"/>
          <w:sz w:val="24"/>
        </w:rPr>
        <w:t>福建中医药大学附属人民医院6</w:t>
      </w:r>
      <w:r>
        <w:rPr>
          <w:rFonts w:ascii="宋体" w:hAnsi="宋体" w:eastAsia="宋体" w:cs="宋体"/>
          <w:b/>
          <w:color w:val="000000"/>
          <w:spacing w:val="-6"/>
          <w:sz w:val="24"/>
        </w:rPr>
        <w:t>号楼2层</w:t>
      </w:r>
      <w:r>
        <w:rPr>
          <w:rFonts w:hint="eastAsia" w:ascii="宋体" w:hAnsi="宋体" w:eastAsia="宋体" w:cs="宋体"/>
          <w:b/>
          <w:color w:val="000000"/>
          <w:spacing w:val="-6"/>
          <w:sz w:val="24"/>
          <w:lang w:val="en-US" w:eastAsia="zh-CN"/>
        </w:rPr>
        <w:t>会议室</w:t>
      </w:r>
      <w:r>
        <w:rPr>
          <w:rFonts w:ascii="宋体" w:hAnsi="宋体" w:eastAsia="宋体" w:cs="宋体"/>
          <w:color w:val="000000"/>
          <w:sz w:val="24"/>
        </w:rPr>
        <w:t>。</w:t>
      </w:r>
    </w:p>
    <w:p w14:paraId="2F056F19">
      <w:pPr>
        <w:pBdr>
          <w:top w:val="none" w:color="000000" w:sz="0" w:space="0"/>
          <w:left w:val="none" w:color="000000" w:sz="0" w:space="0"/>
          <w:bottom w:val="none" w:color="000000" w:sz="0" w:space="0"/>
          <w:right w:val="none" w:color="000000" w:sz="0" w:space="0"/>
        </w:pBdr>
        <w:spacing w:before="0" w:after="0" w:line="360" w:lineRule="auto"/>
        <w:ind w:left="0" w:right="0" w:firstLine="456"/>
      </w:pPr>
      <w:r>
        <w:rPr>
          <w:rFonts w:ascii="宋体" w:hAnsi="宋体" w:eastAsia="宋体" w:cs="宋体"/>
          <w:color w:val="000000"/>
          <w:spacing w:val="-6"/>
          <w:sz w:val="24"/>
        </w:rPr>
        <w:t>5.供应商对本次采购活动事项提出疑问的，请在递交投标文件截止时间3天前，将问题以书面的形式（有效签署的原件并加盖公章，拒绝传真、电邮、电话形式等其它形式）提交到福建中医药大学附属人民医院资产管理处办公室1，口头提交质疑澄清的问题不予接受。</w:t>
      </w:r>
    </w:p>
    <w:p w14:paraId="4D64FF3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rPr>
        <w:t>福建中医药大学附属人民医院院内、院外网</w:t>
      </w:r>
      <w:r>
        <w:rPr>
          <w:rFonts w:ascii="宋体" w:hAnsi="宋体" w:eastAsia="宋体" w:cs="宋体"/>
          <w:color w:val="000000"/>
          <w:sz w:val="24"/>
        </w:rPr>
        <w:t xml:space="preserve">通知，请供应商随时关注相关网站，以免错漏重要信息。 </w:t>
      </w:r>
    </w:p>
    <w:p w14:paraId="0F27B139">
      <w:pPr>
        <w:pBdr>
          <w:top w:val="none" w:color="000000" w:sz="0" w:space="0"/>
          <w:left w:val="none" w:color="000000" w:sz="0" w:space="0"/>
          <w:bottom w:val="none" w:color="000000" w:sz="0" w:space="0"/>
          <w:right w:val="none" w:color="000000" w:sz="0" w:space="0"/>
        </w:pBdr>
        <w:spacing w:before="0" w:after="0" w:line="360" w:lineRule="auto"/>
        <w:ind w:left="420" w:right="0" w:firstLine="0"/>
      </w:pPr>
      <w:r>
        <w:rPr>
          <w:rFonts w:ascii="宋体" w:hAnsi="宋体" w:eastAsia="宋体" w:cs="宋体"/>
          <w:b/>
          <w:color w:val="000000"/>
          <w:sz w:val="24"/>
        </w:rPr>
        <w:t>投标文件壹正三副</w:t>
      </w:r>
      <w:r>
        <w:rPr>
          <w:rFonts w:ascii="宋体" w:hAnsi="宋体" w:eastAsia="宋体" w:cs="宋体"/>
          <w:color w:val="000000"/>
          <w:sz w:val="24"/>
        </w:rPr>
        <w:t>。</w:t>
      </w:r>
    </w:p>
    <w:p w14:paraId="75CF7481">
      <w:pPr>
        <w:pBdr>
          <w:top w:val="none" w:color="000000" w:sz="0" w:space="0"/>
          <w:left w:val="none" w:color="000000" w:sz="0" w:space="0"/>
          <w:bottom w:val="none" w:color="000000" w:sz="0" w:space="0"/>
          <w:right w:val="none" w:color="000000" w:sz="0" w:space="0"/>
        </w:pBdr>
        <w:spacing w:before="0" w:after="0" w:line="360" w:lineRule="auto"/>
        <w:ind w:left="0" w:right="0" w:firstLine="600"/>
      </w:pPr>
      <w:r>
        <w:rPr>
          <w:rFonts w:ascii="宋体" w:hAnsi="宋体" w:eastAsia="宋体" w:cs="宋体"/>
          <w:color w:val="000000"/>
          <w:sz w:val="24"/>
        </w:rPr>
        <w:t>联系人： 王先生  0591-83</w:t>
      </w:r>
      <w:r>
        <w:rPr>
          <w:rFonts w:hint="eastAsia" w:ascii="宋体" w:hAnsi="宋体" w:eastAsia="宋体" w:cs="宋体"/>
          <w:color w:val="000000"/>
          <w:sz w:val="24"/>
          <w:lang w:val="en-US" w:eastAsia="zh-CN"/>
        </w:rPr>
        <w:t>942123</w:t>
      </w:r>
      <w:r>
        <w:rPr>
          <w:rFonts w:ascii="宋体" w:hAnsi="宋体" w:eastAsia="宋体" w:cs="宋体"/>
          <w:color w:val="000000"/>
          <w:sz w:val="24"/>
        </w:rPr>
        <w:t>（办公室）</w:t>
      </w:r>
    </w:p>
    <w:p w14:paraId="77987C88">
      <w:pPr>
        <w:pBdr>
          <w:top w:val="none" w:color="000000" w:sz="0" w:space="0"/>
          <w:left w:val="none" w:color="000000" w:sz="0" w:space="0"/>
          <w:bottom w:val="none" w:color="000000" w:sz="0" w:space="0"/>
          <w:right w:val="none" w:color="000000" w:sz="0" w:space="0"/>
        </w:pBdr>
        <w:spacing w:before="0" w:after="0" w:line="360" w:lineRule="auto"/>
        <w:ind w:left="0" w:right="0" w:firstLine="600"/>
      </w:pPr>
      <w:r>
        <w:rPr>
          <w:rFonts w:ascii="宋体" w:hAnsi="宋体" w:eastAsia="宋体" w:cs="宋体"/>
          <w:color w:val="000000"/>
          <w:sz w:val="24"/>
        </w:rPr>
        <w:t xml:space="preserve">      </w:t>
      </w:r>
    </w:p>
    <w:p w14:paraId="02A966A2">
      <w:pPr>
        <w:pBdr>
          <w:top w:val="none" w:color="000000" w:sz="0" w:space="0"/>
          <w:left w:val="none" w:color="000000" w:sz="0" w:space="0"/>
          <w:bottom w:val="none" w:color="000000" w:sz="0" w:space="0"/>
          <w:right w:val="none" w:color="000000" w:sz="0" w:space="0"/>
        </w:pBdr>
        <w:spacing w:before="0" w:after="0" w:line="360" w:lineRule="auto"/>
        <w:ind w:left="0" w:right="0" w:firstLine="0"/>
      </w:pPr>
    </w:p>
    <w:p w14:paraId="55F0C6BE">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137FFA56">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bCs/>
          <w:snapToGrid/>
          <w:color w:val="000000"/>
          <w:sz w:val="36"/>
          <w:szCs w:val="36"/>
          <w:highlight w:val="none"/>
        </w:rPr>
      </w:pPr>
    </w:p>
    <w:p w14:paraId="27C6FD1C">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bCs/>
          <w:snapToGrid/>
          <w:color w:val="000000"/>
          <w:sz w:val="36"/>
          <w:szCs w:val="36"/>
          <w:highlight w:val="none"/>
        </w:rPr>
      </w:pPr>
      <w:r>
        <w:rPr>
          <w:rFonts w:ascii="宋体" w:hAnsi="宋体" w:eastAsia="宋体" w:cs="宋体"/>
          <w:b/>
          <w:color w:val="000000"/>
          <w:sz w:val="36"/>
        </w:rPr>
        <w:t>二、供应商须知</w:t>
      </w:r>
    </w:p>
    <w:p w14:paraId="0C47AAFE">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1.资格标准：</w:t>
      </w:r>
    </w:p>
    <w:p w14:paraId="500D40BD">
      <w:pPr>
        <w:pBdr>
          <w:top w:val="none" w:color="000000" w:sz="0" w:space="0"/>
          <w:left w:val="none" w:color="000000" w:sz="0" w:space="0"/>
          <w:bottom w:val="none" w:color="000000" w:sz="0" w:space="0"/>
          <w:right w:val="none" w:color="000000" w:sz="0" w:space="0"/>
        </w:pBdr>
        <w:spacing w:before="0" w:after="0" w:line="360" w:lineRule="auto"/>
        <w:ind w:left="0" w:right="0" w:firstLine="420"/>
      </w:pPr>
      <w:r>
        <w:rPr>
          <w:rFonts w:ascii="宋体" w:hAnsi="宋体" w:eastAsia="宋体" w:cs="宋体"/>
          <w:color w:val="000000"/>
          <w:sz w:val="24"/>
        </w:rPr>
        <w:t>凡有能力提供本招标文件所述服务，具备相关法律法规、行政规章条例和本招标文件中规定的参加采购活动应当具备的条件的境内独立法人资格均可能成为合格的投标人。</w:t>
      </w:r>
    </w:p>
    <w:p w14:paraId="7ACB9D10">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2.采购方式：院内公开招标</w:t>
      </w:r>
    </w:p>
    <w:p w14:paraId="0D2568C1">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2.1采购方组织的院内公开招标按招标文件规定的时间和地点进行。投标人须在截止时间前递交投标文件。</w:t>
      </w:r>
    </w:p>
    <w:p w14:paraId="5A6193A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2.2成交原则：</w:t>
      </w:r>
    </w:p>
    <w:p w14:paraId="74E3598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2.2.1本项目评审采用</w:t>
      </w:r>
      <w:r>
        <w:rPr>
          <w:rFonts w:ascii="宋体" w:hAnsi="宋体" w:eastAsia="宋体" w:cs="宋体"/>
          <w:b/>
          <w:color w:val="000000"/>
          <w:sz w:val="24"/>
        </w:rPr>
        <w:t>最低评标价法</w:t>
      </w:r>
      <w:r>
        <w:rPr>
          <w:rFonts w:ascii="宋体" w:hAnsi="宋体" w:eastAsia="宋体" w:cs="宋体"/>
          <w:color w:val="000000"/>
          <w:sz w:val="24"/>
        </w:rPr>
        <w:t>进行评审。</w:t>
      </w:r>
    </w:p>
    <w:p w14:paraId="7F1EA9F2">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2.2.2定标：采购人授权评审小组根据完全满足采购的技术、质量、商务和服务的需求且评审价最低的原则确定成交供应商。</w:t>
      </w:r>
    </w:p>
    <w:p w14:paraId="723C10F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2.2.3评审的依据为招标文件（含有效的补充文件），评审小组判断投标文件对招标文件的响应仅基于投标文件本身而不靠外部证据。</w:t>
      </w:r>
    </w:p>
    <w:p w14:paraId="265E726F">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2.2.4评标结果公示：公开招标结果将在福建中医药大学附属人民医院院内网、院外网的公告栏目内公示。</w:t>
      </w:r>
    </w:p>
    <w:p w14:paraId="7D0F3B8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2.3签订合同：</w:t>
      </w:r>
    </w:p>
    <w:p w14:paraId="005D060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2.3.1供应商收到中标通知书后5个工作日内须来我院办理合同签订手续。</w:t>
      </w:r>
    </w:p>
    <w:p w14:paraId="7B208692">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2.3.2招标文件、供应商的投标文件及有效承诺文件等，均为签订合同的依据。</w:t>
      </w:r>
    </w:p>
    <w:p w14:paraId="64802F3E">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2.3.3结算说明：</w:t>
      </w:r>
    </w:p>
    <w:p w14:paraId="7E555224">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1）采购人向中标人支付的合同价款系完成本合同服务总体目标与要求的医疗支持服务费用，包含员工工资、奖金、福利、按劳动法规定缴纳的各种保险费、休息日加班费用、法定节假日加班工资、奖金和各种津贴、补贴以及工作服装费、装备费、各项岗位培训费、行政管理费、交通费、转运必要的工具、遗体保存必要的充足的冷藏设备，日常工作所需要的消毒用品、维修工具和材料等所有物料消耗费用（含中标人需缴纳的各种税费）。</w:t>
      </w:r>
    </w:p>
    <w:p w14:paraId="1215B310">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（2）履约保证金：金额为中标总金额的5%，中标人应在双方签订本合同时向采购人支付履约保证金，如因违约导致履约保证金被采购人扣除，中标人需补齐履约保证金。</w:t>
      </w:r>
    </w:p>
    <w:p w14:paraId="01D4C017">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3）采取分季度转帐付款方式，根据采购人审核确认的工时人数及服务内容按季度结算，中标人于次季度第一个月前15日内开具正式发票并提交给采购人，采购人凭验收凭证和正式发票等材料以银行转账方式向中标人支付上季度的费用。</w:t>
      </w:r>
    </w:p>
    <w:p w14:paraId="787BF8B0">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sz w:val="21"/>
          <w:szCs w:val="21"/>
        </w:rPr>
      </w:pPr>
    </w:p>
    <w:p w14:paraId="32F698B0">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bCs/>
          <w:snapToGrid/>
          <w:color w:val="000000"/>
          <w:sz w:val="36"/>
          <w:szCs w:val="36"/>
          <w:highlight w:val="none"/>
        </w:rPr>
      </w:pPr>
    </w:p>
    <w:p w14:paraId="6B069D3C">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bCs/>
          <w:snapToGrid/>
          <w:color w:val="000000"/>
          <w:sz w:val="36"/>
          <w:szCs w:val="36"/>
          <w:highlight w:val="none"/>
        </w:rPr>
      </w:pPr>
    </w:p>
    <w:p w14:paraId="40BFF40F">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bCs/>
          <w:snapToGrid/>
          <w:color w:val="000000"/>
          <w:sz w:val="36"/>
          <w:szCs w:val="36"/>
          <w:highlight w:val="none"/>
        </w:rPr>
      </w:pPr>
      <w:r>
        <w:rPr>
          <w:rFonts w:ascii="宋体" w:hAnsi="宋体" w:eastAsia="宋体" w:cs="宋体"/>
          <w:b/>
          <w:color w:val="000000"/>
          <w:sz w:val="36"/>
        </w:rPr>
        <w:t>三、招标项目具体要求</w:t>
      </w:r>
    </w:p>
    <w:p w14:paraId="45553919">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1.项目概况：</w:t>
      </w:r>
      <w:r>
        <w:rPr>
          <w:rFonts w:ascii="宋体" w:hAnsi="宋体" w:eastAsia="宋体" w:cs="宋体"/>
          <w:color w:val="000000"/>
          <w:sz w:val="24"/>
        </w:rPr>
        <w:t>我院因工作需要拟委托一家供应商提供太平间工作人员配置服务。</w:t>
      </w:r>
    </w:p>
    <w:p w14:paraId="3011723F">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2.资质要求：</w:t>
      </w:r>
    </w:p>
    <w:p w14:paraId="65F3337F">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2.1具有独立法人资格和营业执照。</w:t>
      </w:r>
    </w:p>
    <w:p w14:paraId="6936E80B">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2.2投标人参加此次投标前三年内，在经营活动中没有重大违法记录。</w:t>
      </w:r>
    </w:p>
    <w:p w14:paraId="180FD7E7">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ascii="宋体" w:hAnsi="宋体" w:eastAsia="宋体" w:cs="宋体"/>
          <w:snapToGrid/>
          <w:color w:val="000000"/>
          <w:sz w:val="24"/>
          <w:szCs w:val="24"/>
          <w:highlight w:val="none"/>
        </w:rPr>
      </w:pPr>
      <w:r>
        <w:rPr>
          <w:rFonts w:ascii="宋体" w:hAnsi="宋体" w:eastAsia="宋体" w:cs="宋体"/>
          <w:color w:val="000000"/>
          <w:sz w:val="24"/>
        </w:rPr>
        <w:t>2.3本项目不接受国标行业为殡葬服务的公司投标。</w:t>
      </w:r>
    </w:p>
    <w:p w14:paraId="31496005">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highlight w:val="none"/>
        </w:rPr>
        <w:t>2.4投标人派驻本项目的工作人员中，必须至少配备1名持有国家人力资源和社会保障部门颁发的“殡仪服务员”职业资格证书。</w:t>
      </w:r>
    </w:p>
    <w:p w14:paraId="1E77E1AB">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2.5凡有能力提供本招标文件所述服务，具备本招标文件中规定条件的境内供应商均可参加本次采购活动。</w:t>
      </w:r>
    </w:p>
    <w:p w14:paraId="6FBA5429">
      <w:pPr>
        <w:numPr>
          <w:ilvl w:val="0"/>
          <w:numId w:val="1"/>
        </w:numPr>
        <w:pBdr>
          <w:top w:val="none" w:color="000000" w:sz="0" w:space="0"/>
          <w:left w:val="none" w:color="000000" w:sz="0" w:space="0"/>
          <w:bottom w:val="none" w:color="000000" w:sz="0" w:space="0"/>
          <w:right w:val="none" w:color="000000" w:sz="0" w:space="0"/>
        </w:pBdr>
        <w:spacing w:before="0" w:after="0" w:line="360" w:lineRule="auto"/>
      </w:pPr>
      <w:r>
        <w:rPr>
          <w:rFonts w:ascii="宋体" w:hAnsi="宋体" w:eastAsia="宋体" w:cs="宋体"/>
          <w:b/>
          <w:color w:val="000000"/>
          <w:sz w:val="24"/>
        </w:rPr>
        <w:t>招标控制价</w:t>
      </w:r>
    </w:p>
    <w:p w14:paraId="1645B192">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本项目招标控制价为</w:t>
      </w:r>
      <w:r>
        <w:rPr>
          <w:rFonts w:ascii="宋体" w:hAnsi="宋体" w:eastAsia="宋体" w:cs="宋体"/>
          <w:b/>
          <w:color w:val="000000"/>
          <w:sz w:val="24"/>
          <w:u w:val="single"/>
        </w:rPr>
        <w:t>137200元</w:t>
      </w:r>
      <w:r>
        <w:rPr>
          <w:rFonts w:ascii="宋体" w:hAnsi="宋体" w:eastAsia="宋体" w:cs="宋体"/>
          <w:b/>
          <w:color w:val="000000"/>
          <w:sz w:val="24"/>
        </w:rPr>
        <w:t>（人民币壹拾叁万柒仟贰佰元整）</w:t>
      </w:r>
      <w:r>
        <w:rPr>
          <w:rFonts w:ascii="宋体" w:hAnsi="宋体" w:eastAsia="宋体" w:cs="宋体"/>
          <w:color w:val="000000"/>
          <w:sz w:val="24"/>
        </w:rPr>
        <w:t>，投标人报价超过招标控制价的，视为无效投标。</w:t>
      </w:r>
    </w:p>
    <w:p w14:paraId="4ECA9715">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4.服务内容：</w:t>
      </w:r>
    </w:p>
    <w:p w14:paraId="633AC3E5">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4.1需配备工作人员(1岗：4.2工时人数，1工时人数=40小时/周)</w:t>
      </w:r>
    </w:p>
    <w:p w14:paraId="1833F86A">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4.2人员要求：男女不限，18岁以上、60岁以下，具备专业知识和职业素养，具有太平间工作经验并从业一年以上，实行24小时轮岗制，全年无休，24小时(每天)×7天÷40小时（工时人数）=4.2工时人数（1岗）。具体工作时间、内容等安排由管理部门根据实际工作需求统筹排班，工作人员须服从工作调配。根据《福建省医疗卫生机构太平间管理暂行规定》（闽卫医政【2025】19号）的第四条：太平间应当配备专业人员管理。为确保太平间管理的专业性与规范性，提升整体服务质量，现要求拟派驻本项目的工作人员中，必须至少配备1名持有国家人力资源和社会保障部门颁发的“殡仪服务员”职业资格证书的人员，协助医院后勤保障处，对医院太平间进行专业管理工作，以保障服务的高效、有序与人性化。</w:t>
      </w:r>
    </w:p>
    <w:p w14:paraId="305EA99C">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4.3服务要求：</w:t>
      </w:r>
    </w:p>
    <w:p w14:paraId="55F8E87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（1）严格执行《殡葬管理条例》、《福建省医疗卫生机构太平间管理暂行规定》（闽卫医政【2025】19号等相关规定。</w:t>
      </w:r>
    </w:p>
    <w:p w14:paraId="5AF7D5D5">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为丧属提供专业化、人性化、规范化的服务，安抚逝者家属，保障遗体处理过程顺利进行。具体包括接待与洽谈职责（礼貌接待，耐心与细致沟通，服务介绍）、遗体接运与守护职责（接运准备，规范操作，情感支持和遗体守护）、后勤与火化协助职责（协助火化手续办理，设备操作与维护，环境维护）、后续服务与档案管理职责（档案整理和后续咨询）。</w:t>
      </w:r>
    </w:p>
    <w:p w14:paraId="3B00A63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（3）熟悉太平间遗体冷藏、运输设备的使用与维护，确保符合安全标准。定期巡检、维护保养并及时完成记录登记，确保太平间正常运作。</w:t>
      </w:r>
    </w:p>
    <w:p w14:paraId="5FFBC22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（4）熟悉殡葬行业政策、基本殡葬礼仪及太平间工作流程，掌握遗体接运具体操作规范和沟通技巧，文明操作，尊重逝者，避免出现拖、抛、坠遗体现象。</w:t>
      </w:r>
    </w:p>
    <w:p w14:paraId="1B11C12F">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5）严格遵守院方制定的各项制度、职责，恪守保密原则和行业规范，熟悉应急预案，具备责任心、团队合作精神及突发事件处理能力，不泄露患者隐私，禁止倒卖、泄露亡故患者信息，禁止买卖尸体及器官等牟利行为。</w:t>
      </w:r>
    </w:p>
    <w:p w14:paraId="173D595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6）严格遵守相关法律法规，负责遗体接收、登记、保存、消毒处理及与殡葬服务机构联系等工作，严格按照相关文件规定接收和处理残肢、死胎等，建立台账，详细记录遗体的基本情况、交接时间、存放情况、离开太平间去向等。</w:t>
      </w:r>
    </w:p>
    <w:p w14:paraId="3FD1A82F">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（7）遵循院方指定接体路线并严格遵守院方制定的接运时间（20-30分钟）到达相应科室。</w:t>
      </w:r>
    </w:p>
    <w:p w14:paraId="4E712222">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（8）坚守岗位，保持太平间通风、干净、整洁，定期消毒，保持门窗、通风口的防鼠、防蝇、防腐设备的良好，严格执行院方安排的清洁、消毒等常规工作以及临时安排的其他工作。</w:t>
      </w:r>
    </w:p>
    <w:p w14:paraId="611C6FF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9）确保太平间大厅及停尸间只能单独开展遗体暂存，不得在太平间外及公共地段开展祭奠或举行悼念活动，不得出现燃放鞭炮、敲锣打鼓、跳舞唱戏、划拳、喝酒等影响他人的行为（除小声播放哀乐外），禁止从事封建迷信活动。向家属宣传移风易俗，注重消防安全，以防火灾发生，严禁在太平间内出现烧香、烧纸等明火。</w:t>
      </w:r>
    </w:p>
    <w:p w14:paraId="16578069">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（10）在开展丧事服务过程中，应树立良好的职业道德，尊重丧属的意见，不与丧属争吵，按殡仪管理相关规定尽力为丧属提供服务。</w:t>
      </w:r>
    </w:p>
    <w:p w14:paraId="7A8B7D5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（11）上岗须佩戴工作证，着工作服。</w:t>
      </w:r>
    </w:p>
    <w:p w14:paraId="327B39E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（12）工作人员应当确保遗体在太平间保存期间保持整洁、无异味。在停放传染病或疑似传染病病人尸体后需对冷藏设备、专用运输工具、场所等按照规定严格消毒。</w:t>
      </w:r>
    </w:p>
    <w:p w14:paraId="6C4BD12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（13）未经院方书面同意，太平间工作人员不能乱搭乱建。</w:t>
      </w:r>
    </w:p>
    <w:p w14:paraId="0E824FE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（14）加强遗体安全管理，防止出现遗体被盗、损坏等。</w:t>
      </w:r>
    </w:p>
    <w:p w14:paraId="0408F932">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（15）需配备相关设施和工具如运送、保存遗体必备的专用工具、专用冷藏设备，消毒、维护、修理和保养设备及工具的各类用料、配件及相关器材等。</w:t>
      </w:r>
    </w:p>
    <w:p w14:paraId="05C2675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4.3其他要求</w:t>
      </w:r>
    </w:p>
    <w:p w14:paraId="196A4782">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投标人承诺工作人员身体健康，无刑事记录或不良行为，未患有感染类和精神类疾病(如:癫痫、精神分裂症、忧郁症等，无残障、耳聋、视力障碍、语言沟通障碍等疾病)。应确保能胜任接触遗体的特殊工作环境，做好个人卫生防护，防止自身感染。由工作人员身体原因影响致不能胜任该岗位，则采购人有权要求投标人马上更换太平间工作人员，并承担由此引发的纠纷责任和由此给采购人造成的损失。</w:t>
      </w:r>
    </w:p>
    <w:p w14:paraId="2E7FA7BC">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（2）投标人提供工作人员须与投标人签订劳动合同，投标人应按时发放员工工资、福利及奖金，按规定缴纳各种保险费，由于薪酬、福利等相关原因引起的纠纷由投标人自行承当，与采购人无关。</w:t>
      </w:r>
    </w:p>
    <w:p w14:paraId="45B9C6CC">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（3）投标人在承包期内应按国家、省、市规定及时足额发放工人工资和有关福利待遇(如加班费、劳保费等)。 服务方应保证人员最低工资标准不得低于《福建省人力资源和社会保障厅关于调整福建省最低工资标准的通知》(闽人社文【2023】171号)规定的最低工资标准。</w:t>
      </w:r>
    </w:p>
    <w:p w14:paraId="3E9A9BA2">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4）投标人需配置经培训合格的专业工作人员和运输工具、配件等及日常消毒防护材料，负责硬件设备设施维保，及时向采购人管理部门提交培训合格的记录材料。对违纪和不称职员工，投标人应根据采购人的要求及时整改或撤换。</w:t>
      </w:r>
    </w:p>
    <w:p w14:paraId="44467E8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（5）采购人不提供医疗卫生服务项目以外的各项殡仪服务。在提供医疗卫生服务项目以内的相关服务前，应当与丧属充分沟通，做到知情同意。</w:t>
      </w:r>
    </w:p>
    <w:p w14:paraId="0CF63790">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5、违约责任</w:t>
      </w:r>
    </w:p>
    <w:p w14:paraId="1CA84771">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5.1严禁太平间外及公共地段开展祭奠活动或有燃放鞭炮、敲锣打鼓、跳舞唱戏、划拳、喝酒等影响他人行为，发现以上行为以及在太平间内使用明火举行悼念活动或从事其它封建迷信活动者，或因接体时间不及时，接体路线、服务操作不规范等甚至引发纠纷，采购人将通知投标人并直接扣罚当季度费用500元/次，如当季度费用不足以支付则从履约保证金中扣除。该工作人员应当马上整改；如太平间工作人员三次违反约定，影响医院声誉，则采购人有权要求公司马上更换太平间工作人员，并承担由此引发的纠纷责任和由此给采购人造成的损失。</w:t>
      </w:r>
    </w:p>
    <w:p w14:paraId="1843ACD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5.2工作人员每日定期对遗体进行检查，若发现遗体登记有误、遗体保存异味、消毒处理不善等异常未及时报告后勤管理部门，院方将通知公司并直接扣罚当季度费用500元/次，如当季度费用不足以支付则从履约保证金中扣除。</w:t>
      </w:r>
    </w:p>
    <w:p w14:paraId="56838A4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5.3投标人应当配置符合采购人需求且充足的遗体运输工具及相应的消毒器材、药剂，确保所配置设备和材料的质量、清洁和消毒，并做好维护，随时保障采购人日常遗体存放与保存维护需求。</w:t>
      </w:r>
    </w:p>
    <w:p w14:paraId="5899F21C">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5.4不得将采购人遗体寄存外单位或将外来遗体存放在采购人太平间，经查违反此项规定，采购人将通知投标人并直接扣罚当季度费用1000元/具，如当季度费用不足以支付则从履约保证金中扣除。</w:t>
      </w:r>
    </w:p>
    <w:p w14:paraId="58E13D0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5.5如出现以下情况将扣除当季度所有款项并解除合同扣除所缴纳的履约保证金：</w:t>
      </w:r>
    </w:p>
    <w:p w14:paraId="3B36E33A">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（1）遗体在太平间保存期间发现损坏、被盗、被换以及因任何原因倒卖、泄露亡故患者隐私、信息，或发现买卖尸体、器官等不良事件之一，根据有关法律法规追究其法律责任。</w:t>
      </w:r>
    </w:p>
    <w:p w14:paraId="79E9029F">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（2）严禁工作人员利用工作之便敲诈丧家财务或违规提供各项殡仪服务或推荐“一条龙”服务。</w:t>
      </w:r>
    </w:p>
    <w:p w14:paraId="0830AD48">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6、本项目服务期限1年。</w:t>
      </w:r>
    </w:p>
    <w:p w14:paraId="61D0B0B1">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jc w:val="center"/>
      </w:pPr>
    </w:p>
    <w:p w14:paraId="5114AE7E">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7B3126FB">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29DE7AE9">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1F87C664">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6EEDA4E0">
      <w:pPr>
        <w:pBdr>
          <w:top w:val="none" w:color="000000" w:sz="0" w:space="0"/>
          <w:left w:val="none" w:color="000000" w:sz="0" w:space="0"/>
          <w:bottom w:val="none" w:color="000000" w:sz="0" w:space="0"/>
          <w:right w:val="none" w:color="000000" w:sz="0" w:space="0"/>
        </w:pBdr>
        <w:spacing w:before="0" w:after="0" w:line="360" w:lineRule="auto"/>
        <w:ind w:left="0" w:right="0" w:firstLine="420"/>
        <w:rPr>
          <w:sz w:val="21"/>
          <w:szCs w:val="21"/>
        </w:rPr>
      </w:pPr>
    </w:p>
    <w:p w14:paraId="3E898708">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snapToGrid/>
          <w:sz w:val="21"/>
          <w:szCs w:val="21"/>
        </w:rPr>
      </w:pPr>
    </w:p>
    <w:p w14:paraId="1FF3426D">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snapToGrid/>
          <w:sz w:val="21"/>
          <w:szCs w:val="21"/>
        </w:rPr>
      </w:pPr>
    </w:p>
    <w:p w14:paraId="4D669B1F">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snapToGrid/>
          <w:sz w:val="21"/>
          <w:szCs w:val="21"/>
        </w:rPr>
      </w:pPr>
    </w:p>
    <w:p w14:paraId="68B54548">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jc w:val="center"/>
      </w:pPr>
      <w:r>
        <w:rPr>
          <w:rFonts w:ascii="宋体" w:hAnsi="宋体" w:eastAsia="宋体" w:cs="宋体"/>
          <w:b/>
          <w:color w:val="000000"/>
          <w:spacing w:val="-12"/>
          <w:sz w:val="36"/>
        </w:rPr>
        <w:t>四、投标文件的要求</w:t>
      </w:r>
    </w:p>
    <w:p w14:paraId="206CCEAC">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jc w:val="center"/>
      </w:pPr>
      <w:r>
        <w:rPr>
          <w:rFonts w:ascii="宋体" w:hAnsi="宋体" w:eastAsia="宋体" w:cs="宋体"/>
          <w:b/>
          <w:color w:val="000000"/>
          <w:sz w:val="21"/>
        </w:rPr>
        <w:t>（包含但不限于以下要求）</w:t>
      </w:r>
    </w:p>
    <w:p w14:paraId="3496592A">
      <w:pPr>
        <w:pBdr>
          <w:top w:val="none" w:color="000000" w:sz="0" w:space="0"/>
          <w:left w:val="none" w:color="000000" w:sz="0" w:space="0"/>
          <w:bottom w:val="none" w:color="000000" w:sz="0" w:space="0"/>
          <w:right w:val="none" w:color="000000" w:sz="0" w:space="0"/>
        </w:pBdr>
        <w:tabs>
          <w:tab w:val="left" w:pos="720"/>
        </w:tabs>
        <w:spacing w:before="0" w:after="0" w:line="360" w:lineRule="auto"/>
        <w:ind w:left="0" w:right="0" w:firstLine="434"/>
      </w:pPr>
      <w:r>
        <w:rPr>
          <w:rFonts w:ascii="宋体" w:hAnsi="宋体" w:eastAsia="宋体" w:cs="宋体"/>
          <w:b/>
          <w:color w:val="000000"/>
          <w:spacing w:val="-12"/>
          <w:sz w:val="24"/>
          <w:u w:val="single"/>
        </w:rPr>
        <w:t>供应商投标文件为一正三副，同时必须满足以下要求，否则视为无效投标。</w:t>
      </w:r>
    </w:p>
    <w:p w14:paraId="0EA90C4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1.报价表（放在投标文件首页）。</w:t>
      </w:r>
    </w:p>
    <w:p w14:paraId="023B559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2.供应商有效期内营业执照复印件。</w:t>
      </w:r>
    </w:p>
    <w:p w14:paraId="44B2E1C2">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3.法定代表人身份证明书</w:t>
      </w:r>
    </w:p>
    <w:p w14:paraId="608C12E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4.法定代表人授权委托书原件并加盖公章(投标代表是法定代表人的无需提供)。</w:t>
      </w:r>
    </w:p>
    <w:p w14:paraId="1C24F8E0">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ascii="宋体" w:hAnsi="宋体" w:eastAsia="宋体" w:cs="宋体"/>
          <w:snapToGrid/>
          <w:color w:val="000000"/>
          <w:sz w:val="24"/>
          <w:szCs w:val="24"/>
          <w:highlight w:val="none"/>
        </w:rPr>
      </w:pPr>
      <w:r>
        <w:rPr>
          <w:rFonts w:ascii="宋体" w:hAnsi="宋体" w:eastAsia="宋体" w:cs="宋体"/>
          <w:color w:val="000000"/>
          <w:sz w:val="24"/>
        </w:rPr>
        <w:t>5.法定代表人及投标代表的有效身份证复印件。</w:t>
      </w:r>
    </w:p>
    <w:p w14:paraId="3A5ACDEA">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highlight w:val="none"/>
        </w:rPr>
        <w:t>6.投标人派驻本项目的工作人员中，必须至少配备1名持有国家人力资源和社会保障部门颁发的“殡仪服务员”职业资格证书。</w:t>
      </w:r>
    </w:p>
    <w:p w14:paraId="4F20BB55">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7.服务承诺（投标人须对本招标文件的第三条招标项目具体要求的4.服务内容及5.违约责任的内容进行逐条承诺）。</w:t>
      </w:r>
    </w:p>
    <w:p w14:paraId="2808AA91">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8.供应商须提供此次投标前三年内，在经营活动中没有重大违法记录的书面声明。</w:t>
      </w:r>
    </w:p>
    <w:p w14:paraId="02E8684B">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9.供应商注意事项：</w:t>
      </w:r>
    </w:p>
    <w:p w14:paraId="11C1021C">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（1）以上内容没有规定格式的请各供应商自行设计格式编写；</w:t>
      </w:r>
    </w:p>
    <w:p w14:paraId="083D451B">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（2）</w:t>
      </w:r>
      <w:r>
        <w:rPr>
          <w:rFonts w:ascii="宋体" w:hAnsi="宋体" w:eastAsia="宋体" w:cs="宋体"/>
          <w:b/>
          <w:color w:val="000000"/>
          <w:sz w:val="24"/>
          <w:u w:val="single"/>
        </w:rPr>
        <w:t>正本的每一页</w:t>
      </w:r>
      <w:r>
        <w:rPr>
          <w:rFonts w:ascii="宋体" w:hAnsi="宋体" w:eastAsia="宋体" w:cs="宋体"/>
          <w:b/>
          <w:color w:val="000000"/>
          <w:sz w:val="24"/>
        </w:rPr>
        <w:t>须加盖公章，以上材料须</w:t>
      </w:r>
      <w:r>
        <w:rPr>
          <w:rFonts w:ascii="宋体" w:hAnsi="宋体" w:eastAsia="宋体" w:cs="宋体"/>
          <w:b/>
          <w:color w:val="000000"/>
          <w:sz w:val="24"/>
          <w:u w:val="single"/>
        </w:rPr>
        <w:t>装订成册并密封</w:t>
      </w:r>
      <w:r>
        <w:rPr>
          <w:rFonts w:ascii="宋体" w:hAnsi="宋体" w:eastAsia="宋体" w:cs="宋体"/>
          <w:b/>
          <w:color w:val="000000"/>
          <w:sz w:val="24"/>
        </w:rPr>
        <w:t>。</w:t>
      </w:r>
    </w:p>
    <w:p w14:paraId="0586E912">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1BABBB20">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239B1C57">
      <w:pPr>
        <w:pBdr>
          <w:top w:val="none" w:color="000000" w:sz="0" w:space="0"/>
          <w:left w:val="none" w:color="000000" w:sz="0" w:space="0"/>
          <w:bottom w:val="none" w:color="000000" w:sz="0" w:space="0"/>
          <w:right w:val="none" w:color="000000" w:sz="0" w:space="0"/>
        </w:pBdr>
        <w:spacing w:before="0" w:after="0" w:line="360" w:lineRule="auto"/>
        <w:ind w:left="0" w:firstLine="0" w:firstLineChars="0"/>
        <w:jc w:val="center"/>
      </w:pPr>
      <w:r>
        <w:rPr>
          <w:rFonts w:ascii="宋体" w:hAnsi="宋体" w:eastAsia="宋体" w:cs="宋体"/>
          <w:b/>
          <w:color w:val="000000"/>
          <w:spacing w:val="-12"/>
          <w:sz w:val="36"/>
        </w:rPr>
        <w:t>五、报价表</w:t>
      </w:r>
    </w:p>
    <w:tbl>
      <w:tblPr>
        <w:tblStyle w:val="29"/>
        <w:tblW w:w="0" w:type="auto"/>
        <w:tblCaption w:val="Table40tl"/>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637"/>
        <w:gridCol w:w="3414"/>
        <w:gridCol w:w="1036"/>
        <w:gridCol w:w="1616"/>
        <w:gridCol w:w="1787"/>
        <w:tblGridChange w:id="0">
          <w:tblGrid>
            <w:gridCol w:w="637"/>
            <w:gridCol w:w="3414"/>
            <w:gridCol w:w="1036"/>
            <w:gridCol w:w="1616"/>
            <w:gridCol w:w="1787"/>
          </w:tblGrid>
        </w:tblGridChange>
      </w:tblGrid>
      <w:tr w14:paraId="2AE5692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0" w:hRule="atLeast"/>
        </w:trPr>
        <w:tc>
          <w:tcPr>
            <w:tcW w:w="63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05914E39">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4"/>
              </w:rPr>
              <w:t>序号</w:t>
            </w:r>
          </w:p>
        </w:tc>
        <w:tc>
          <w:tcPr>
            <w:tcW w:w="3414"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17B98C5D">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4"/>
              </w:rPr>
              <w:t>名称</w:t>
            </w:r>
          </w:p>
        </w:tc>
        <w:tc>
          <w:tcPr>
            <w:tcW w:w="103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05FFFC20">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4"/>
              </w:rPr>
              <w:t>数量</w:t>
            </w:r>
          </w:p>
        </w:tc>
        <w:tc>
          <w:tcPr>
            <w:tcW w:w="161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3D16F4B2">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4"/>
              </w:rPr>
              <w:t>单价（元/月）</w:t>
            </w:r>
          </w:p>
        </w:tc>
        <w:tc>
          <w:tcPr>
            <w:tcW w:w="1787"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694A71FE">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color w:val="000000"/>
                <w:sz w:val="24"/>
              </w:rPr>
              <w:t>合计金额（元）</w:t>
            </w:r>
          </w:p>
        </w:tc>
      </w:tr>
      <w:tr w14:paraId="2807A64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50" w:hRule="atLeast"/>
        </w:trPr>
        <w:tc>
          <w:tcPr>
            <w:tcW w:w="637"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6A661E5F">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4"/>
              </w:rPr>
              <w:t>1</w:t>
            </w:r>
          </w:p>
        </w:tc>
        <w:tc>
          <w:tcPr>
            <w:tcW w:w="3414"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140C3DE2">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4"/>
              </w:rPr>
              <w:t>太平间工作人员配置服务采购项目</w:t>
            </w:r>
          </w:p>
        </w:tc>
        <w:tc>
          <w:tcPr>
            <w:tcW w:w="10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5393F6F">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4"/>
              </w:rPr>
              <w:t>12</w:t>
            </w:r>
          </w:p>
        </w:tc>
        <w:tc>
          <w:tcPr>
            <w:tcW w:w="161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50AED60E">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p>
        </w:tc>
        <w:tc>
          <w:tcPr>
            <w:tcW w:w="1787"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00C3310">
            <w:pPr>
              <w:pBdr>
                <w:top w:val="none" w:color="000000" w:sz="0" w:space="0"/>
                <w:left w:val="none" w:color="000000" w:sz="0" w:space="0"/>
                <w:bottom w:val="none" w:color="000000" w:sz="0" w:space="0"/>
                <w:right w:val="none" w:color="000000" w:sz="0" w:space="0"/>
              </w:pBdr>
              <w:spacing w:before="0" w:after="0" w:line="360" w:lineRule="auto"/>
              <w:ind w:left="0" w:right="0" w:firstLine="0"/>
            </w:pPr>
          </w:p>
        </w:tc>
      </w:tr>
      <w:tr w14:paraId="47B4EFD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38" w:hRule="atLeast"/>
        </w:trPr>
        <w:tc>
          <w:tcPr>
            <w:tcW w:w="8489" w:type="dxa"/>
            <w:gridSpan w:val="5"/>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B02287">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color w:val="000000"/>
                <w:sz w:val="24"/>
              </w:rPr>
              <w:t>备注：1、本项目须提供4.2工时人数工资福利费/月(包干价)。</w:t>
            </w:r>
          </w:p>
          <w:p w14:paraId="50CDFD98">
            <w:pPr>
              <w:pBdr>
                <w:top w:val="none" w:color="000000" w:sz="0" w:space="0"/>
                <w:left w:val="none" w:color="000000" w:sz="0" w:space="0"/>
                <w:bottom w:val="none" w:color="000000" w:sz="0" w:space="0"/>
                <w:right w:val="none" w:color="000000" w:sz="0" w:space="0"/>
              </w:pBdr>
              <w:spacing w:before="0" w:after="0" w:line="360" w:lineRule="auto"/>
              <w:ind w:left="0" w:right="0" w:firstLine="720"/>
            </w:pPr>
            <w:r>
              <w:rPr>
                <w:rFonts w:ascii="宋体" w:hAnsi="宋体" w:eastAsia="宋体" w:cs="宋体"/>
                <w:color w:val="000000"/>
                <w:sz w:val="24"/>
              </w:rPr>
              <w:t>2、本报价包含人工、设备和税费等一切费用</w:t>
            </w:r>
          </w:p>
        </w:tc>
      </w:tr>
    </w:tbl>
    <w:p w14:paraId="50EE67DB">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1556706B">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77AA7DED">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2C4D3E53">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676A53E0">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3F179EA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r>
        <w:rPr>
          <w:rFonts w:ascii="宋体" w:hAnsi="宋体" w:eastAsia="宋体" w:cs="宋体"/>
          <w:b/>
          <w:color w:val="000000"/>
          <w:sz w:val="28"/>
        </w:rPr>
        <w:t>法定代表人身份证明书（格式）</w:t>
      </w:r>
    </w:p>
    <w:p w14:paraId="60151B7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055509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640"/>
      </w:pPr>
      <w:r>
        <w:rPr>
          <w:rFonts w:ascii="宋体" w:hAnsi="宋体" w:eastAsia="宋体" w:cs="宋体"/>
          <w:color w:val="000000"/>
          <w:sz w:val="24"/>
          <w:u w:val="single"/>
        </w:rPr>
        <w:t xml:space="preserve">         </w:t>
      </w:r>
      <w:r>
        <w:rPr>
          <w:rFonts w:ascii="宋体" w:hAnsi="宋体" w:eastAsia="宋体" w:cs="宋体"/>
          <w:color w:val="000000"/>
          <w:sz w:val="24"/>
        </w:rPr>
        <w:t>（法定代表人姓名）在</w:t>
      </w:r>
      <w:r>
        <w:rPr>
          <w:rFonts w:ascii="宋体" w:hAnsi="宋体" w:eastAsia="宋体" w:cs="宋体"/>
          <w:color w:val="000000"/>
          <w:sz w:val="24"/>
          <w:u w:val="single"/>
        </w:rPr>
        <w:t xml:space="preserve">                       </w:t>
      </w:r>
      <w:r>
        <w:rPr>
          <w:rFonts w:ascii="宋体" w:hAnsi="宋体" w:eastAsia="宋体" w:cs="宋体"/>
          <w:color w:val="000000"/>
          <w:sz w:val="24"/>
        </w:rPr>
        <w:t>（供应商名称）任</w:t>
      </w:r>
      <w:r>
        <w:rPr>
          <w:rFonts w:ascii="宋体" w:hAnsi="宋体" w:eastAsia="宋体" w:cs="宋体"/>
          <w:color w:val="000000"/>
          <w:sz w:val="24"/>
          <w:u w:val="single"/>
        </w:rPr>
        <w:t xml:space="preserve">           </w:t>
      </w:r>
      <w:r>
        <w:rPr>
          <w:rFonts w:ascii="宋体" w:hAnsi="宋体" w:eastAsia="宋体" w:cs="宋体"/>
          <w:color w:val="000000"/>
          <w:sz w:val="24"/>
        </w:rPr>
        <w:t>（职务名称）职务，是</w:t>
      </w:r>
      <w:r>
        <w:rPr>
          <w:rFonts w:ascii="宋体" w:hAnsi="宋体" w:eastAsia="宋体" w:cs="宋体"/>
          <w:color w:val="000000"/>
          <w:sz w:val="24"/>
          <w:u w:val="single"/>
        </w:rPr>
        <w:t xml:space="preserve">                       </w:t>
      </w:r>
      <w:r>
        <w:rPr>
          <w:rFonts w:ascii="宋体" w:hAnsi="宋体" w:eastAsia="宋体" w:cs="宋体"/>
          <w:color w:val="000000"/>
          <w:sz w:val="24"/>
        </w:rPr>
        <w:t>（供应商名称）的法定代表人。</w:t>
      </w:r>
    </w:p>
    <w:p w14:paraId="12D808F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p>
    <w:p w14:paraId="79D8101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r>
        <w:rPr>
          <w:rFonts w:ascii="宋体" w:hAnsi="宋体" w:eastAsia="宋体" w:cs="宋体"/>
          <w:color w:val="000000"/>
          <w:sz w:val="24"/>
        </w:rPr>
        <w:t>特此证明。</w:t>
      </w:r>
    </w:p>
    <w:p w14:paraId="2B05AF4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341EC48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794F25C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615678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A9B531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427995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（供应商全称）</w:t>
      </w:r>
    </w:p>
    <w:p w14:paraId="6943460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年   月   日</w:t>
      </w:r>
    </w:p>
    <w:p w14:paraId="7368CA0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（公章）</w:t>
      </w:r>
    </w:p>
    <w:p w14:paraId="730DCE4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34A80E3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附：上述法定代表人住址：</w:t>
      </w:r>
    </w:p>
    <w:p w14:paraId="5D1E289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身份证号码：</w:t>
      </w:r>
    </w:p>
    <w:p w14:paraId="7F681F0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电    传：</w:t>
      </w:r>
    </w:p>
    <w:p w14:paraId="2A33DE0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网    址：</w:t>
      </w:r>
    </w:p>
    <w:p w14:paraId="11BE7D3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邮政编码：</w:t>
      </w:r>
    </w:p>
    <w:p w14:paraId="73821AA9">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3524A2FD">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142437B3">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0176CEEE">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298A8725">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4B5170BC">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646E17B4">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4AC05B2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BE2395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r>
        <w:rPr>
          <w:rFonts w:ascii="宋体" w:hAnsi="宋体" w:eastAsia="宋体" w:cs="宋体"/>
          <w:b/>
          <w:color w:val="000000"/>
          <w:sz w:val="28"/>
        </w:rPr>
        <w:t>法定代表人授权委托书（格式）</w:t>
      </w:r>
    </w:p>
    <w:p w14:paraId="739EFFE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9F5A2B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项目名称：_______________</w:t>
      </w:r>
    </w:p>
    <w:p w14:paraId="129B361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日    期：_______________</w:t>
      </w:r>
    </w:p>
    <w:p w14:paraId="6C98AB5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163375D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_____________________（供应商名称）是中华人民共和国合法企业，法定地址______________________________。</w:t>
      </w:r>
    </w:p>
    <w:p w14:paraId="11211E5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 xml:space="preserve"> _______（供应商法定代表人姓名）特授权</w:t>
      </w:r>
      <w:r>
        <w:rPr>
          <w:rFonts w:ascii="宋体" w:hAnsi="宋体" w:eastAsia="宋体" w:cs="宋体"/>
          <w:color w:val="000000"/>
          <w:sz w:val="24"/>
          <w:u w:val="single"/>
        </w:rPr>
        <w:t xml:space="preserve">                       </w:t>
      </w:r>
      <w:r>
        <w:rPr>
          <w:rFonts w:ascii="宋体" w:hAnsi="宋体" w:eastAsia="宋体" w:cs="宋体"/>
          <w:color w:val="000000"/>
          <w:sz w:val="24"/>
        </w:rPr>
        <w:t>（被授权人姓名及身份证代码）代表我单位全权办理对上述项目的投标、签约等具体工作，并签署全部有关的文件、协议及合同。</w:t>
      </w:r>
    </w:p>
    <w:p w14:paraId="6D3CEF6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我单位对被授权人的签名负全部责任。</w:t>
      </w:r>
    </w:p>
    <w:p w14:paraId="2C7FF10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5BBB965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C31B48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20BE91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被授权人签名：                    法定代表人签名：</w:t>
      </w:r>
    </w:p>
    <w:p w14:paraId="7F85E84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职  务：                            职  务：</w:t>
      </w:r>
    </w:p>
    <w:p w14:paraId="7C90C61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75C551A">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ab/>
      </w:r>
      <w:r>
        <w:rPr>
          <w:rFonts w:ascii="宋体" w:hAnsi="宋体" w:eastAsia="宋体" w:cs="宋体"/>
          <w:color w:val="000000"/>
          <w:sz w:val="24"/>
        </w:rPr>
        <w:t xml:space="preserve">                                    供应商公章：</w:t>
      </w:r>
    </w:p>
    <w:p w14:paraId="4774A6F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37BFED5E">
      <w:pPr>
        <w:pBdr>
          <w:top w:val="none" w:color="000000" w:sz="0" w:space="0"/>
          <w:left w:val="none" w:color="000000" w:sz="0" w:space="0"/>
          <w:bottom w:val="none" w:color="000000" w:sz="0" w:space="0"/>
          <w:right w:val="none" w:color="000000" w:sz="0" w:space="0"/>
        </w:pBdr>
        <w:tabs>
          <w:tab w:val="left" w:pos="6373"/>
        </w:tabs>
        <w:spacing w:before="0" w:after="0" w:line="360" w:lineRule="auto"/>
        <w:ind w:left="0" w:right="0" w:firstLine="480"/>
      </w:pPr>
      <w:r>
        <w:rPr>
          <w:rFonts w:ascii="宋体" w:hAnsi="宋体" w:eastAsia="宋体" w:cs="宋体"/>
          <w:color w:val="000000"/>
          <w:sz w:val="24"/>
        </w:rPr>
        <w:tab/>
      </w:r>
    </w:p>
    <w:p w14:paraId="7A26564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7C16527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5F5FE23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0B66A8AE">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3"/>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0"/>
  <w:drawingGridVerticalSpacing w:val="31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6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basedOn w:val="30"/>
    <w:semiHidden/>
    <w:unhideWhenUsed/>
    <w:qFormat/>
    <w:uiPriority w:val="99"/>
    <w:rPr>
      <w:vertAlign w:val="superscript"/>
    </w:rPr>
  </w:style>
  <w:style w:type="character" w:styleId="32">
    <w:name w:val="Hyperlink"/>
    <w:unhideWhenUsed/>
    <w:qFormat/>
    <w:uiPriority w:val="99"/>
    <w:rPr>
      <w:color w:val="0026E5" w:themeColor="hyperlink"/>
      <w:u w:val="single"/>
      <w14:textFill>
        <w14:solidFill>
          <w14:schemeClr w14:val="hlink"/>
        </w14:solidFill>
      </w14:textFill>
    </w:rPr>
  </w:style>
  <w:style w:type="character" w:styleId="33">
    <w:name w:val="footnote reference"/>
    <w:basedOn w:val="30"/>
    <w:unhideWhenUsed/>
    <w:qFormat/>
    <w:uiPriority w:val="99"/>
    <w:rPr>
      <w:vertAlign w:val="superscript"/>
    </w:rPr>
  </w:style>
  <w:style w:type="character" w:customStyle="1" w:styleId="34">
    <w:name w:val="Heading 1 Char"/>
    <w:basedOn w:val="30"/>
    <w:link w:val="2"/>
    <w:qFormat/>
    <w:uiPriority w:val="9"/>
    <w:rPr>
      <w:rFonts w:ascii="Arial" w:hAnsi="Arial" w:eastAsia="Arial" w:cs="Arial"/>
      <w:sz w:val="40"/>
      <w:szCs w:val="40"/>
    </w:rPr>
  </w:style>
  <w:style w:type="character" w:customStyle="1" w:styleId="35">
    <w:name w:val="Heading 2 Char"/>
    <w:basedOn w:val="30"/>
    <w:link w:val="3"/>
    <w:uiPriority w:val="9"/>
    <w:rPr>
      <w:rFonts w:ascii="Arial" w:hAnsi="Arial" w:eastAsia="Arial" w:cs="Arial"/>
      <w:sz w:val="34"/>
    </w:rPr>
  </w:style>
  <w:style w:type="character" w:customStyle="1" w:styleId="36">
    <w:name w:val="Heading 3 Char"/>
    <w:basedOn w:val="30"/>
    <w:link w:val="4"/>
    <w:uiPriority w:val="9"/>
    <w:rPr>
      <w:rFonts w:ascii="Arial" w:hAnsi="Arial" w:eastAsia="Arial" w:cs="Arial"/>
      <w:sz w:val="30"/>
      <w:szCs w:val="30"/>
    </w:rPr>
  </w:style>
  <w:style w:type="character" w:customStyle="1" w:styleId="37">
    <w:name w:val="Heading 4 Char"/>
    <w:basedOn w:val="30"/>
    <w:link w:val="5"/>
    <w:qFormat/>
    <w:uiPriority w:val="9"/>
    <w:rPr>
      <w:rFonts w:ascii="Arial" w:hAnsi="Arial" w:eastAsia="Arial" w:cs="Arial"/>
      <w:b/>
      <w:bCs/>
      <w:sz w:val="26"/>
      <w:szCs w:val="26"/>
    </w:rPr>
  </w:style>
  <w:style w:type="character" w:customStyle="1" w:styleId="38">
    <w:name w:val="Heading 5 Char"/>
    <w:basedOn w:val="30"/>
    <w:link w:val="6"/>
    <w:qFormat/>
    <w:uiPriority w:val="9"/>
    <w:rPr>
      <w:rFonts w:ascii="Arial" w:hAnsi="Arial" w:eastAsia="Arial" w:cs="Arial"/>
      <w:b/>
      <w:bCs/>
      <w:sz w:val="24"/>
      <w:szCs w:val="24"/>
    </w:rPr>
  </w:style>
  <w:style w:type="character" w:customStyle="1" w:styleId="39">
    <w:name w:val="Heading 6 Char"/>
    <w:basedOn w:val="30"/>
    <w:link w:val="7"/>
    <w:uiPriority w:val="9"/>
    <w:rPr>
      <w:rFonts w:ascii="Arial" w:hAnsi="Arial" w:eastAsia="Arial" w:cs="Arial"/>
      <w:b/>
      <w:bCs/>
      <w:sz w:val="22"/>
      <w:szCs w:val="22"/>
    </w:rPr>
  </w:style>
  <w:style w:type="character" w:customStyle="1" w:styleId="40">
    <w:name w:val="Heading 7 Char"/>
    <w:basedOn w:val="30"/>
    <w:link w:val="8"/>
    <w:qFormat/>
    <w:uiPriority w:val="9"/>
    <w:rPr>
      <w:rFonts w:ascii="Arial" w:hAnsi="Arial" w:eastAsia="Arial" w:cs="Arial"/>
      <w:b/>
      <w:bCs/>
      <w:i/>
      <w:iCs/>
      <w:sz w:val="22"/>
      <w:szCs w:val="22"/>
    </w:rPr>
  </w:style>
  <w:style w:type="character" w:customStyle="1" w:styleId="41">
    <w:name w:val="Heading 8 Char"/>
    <w:basedOn w:val="30"/>
    <w:link w:val="9"/>
    <w:qFormat/>
    <w:uiPriority w:val="9"/>
    <w:rPr>
      <w:rFonts w:ascii="Arial" w:hAnsi="Arial" w:eastAsia="Arial" w:cs="Arial"/>
      <w:i/>
      <w:iCs/>
      <w:sz w:val="22"/>
      <w:szCs w:val="22"/>
    </w:rPr>
  </w:style>
  <w:style w:type="character" w:customStyle="1" w:styleId="42">
    <w:name w:val="Heading 9 Char"/>
    <w:basedOn w:val="30"/>
    <w:link w:val="10"/>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link w:val="18"/>
    <w:qFormat/>
    <w:uiPriority w:val="99"/>
  </w:style>
  <w:style w:type="character" w:customStyle="1" w:styleId="52">
    <w:name w:val="Footer Char"/>
    <w:basedOn w:val="30"/>
    <w:link w:val="17"/>
    <w:qFormat/>
    <w:uiPriority w:val="99"/>
  </w:style>
  <w:style w:type="character" w:customStyle="1" w:styleId="53">
    <w:name w:val="Caption Char"/>
    <w:link w:val="17"/>
    <w:qFormat/>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28"/>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28"/>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28"/>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8"/>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2">
    <w:name w:val="Grid Table 1 Light - Accent 2"/>
    <w:basedOn w:val="28"/>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3">
    <w:name w:val="Grid Table 1 Light - Accent 3"/>
    <w:basedOn w:val="28"/>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4">
    <w:name w:val="Grid Table 1 Light - Accent 4"/>
    <w:basedOn w:val="28"/>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5">
    <w:name w:val="Grid Table 1 Light - Accent 5"/>
    <w:basedOn w:val="28"/>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6">
    <w:name w:val="Grid Table 1 Light - Accent 6"/>
    <w:basedOn w:val="28"/>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7">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28"/>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69">
    <w:name w:val="Grid Table 2 - Accent 2"/>
    <w:basedOn w:val="28"/>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0">
    <w:name w:val="Grid Table 2 - Accent 3"/>
    <w:basedOn w:val="28"/>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1">
    <w:name w:val="Grid Table 2 - Accent 4"/>
    <w:basedOn w:val="28"/>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2">
    <w:name w:val="Grid Table 2 - Accent 5"/>
    <w:basedOn w:val="28"/>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3">
    <w:name w:val="Grid Table 2 - Accent 6"/>
    <w:basedOn w:val="28"/>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4">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28"/>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6">
    <w:name w:val="Grid Table 3 - Accent 2"/>
    <w:basedOn w:val="28"/>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7">
    <w:name w:val="Grid Table 3 - Accent 3"/>
    <w:basedOn w:val="28"/>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8">
    <w:name w:val="Grid Table 3 - Accent 4"/>
    <w:basedOn w:val="28"/>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9">
    <w:name w:val="Grid Table 3 - Accent 5"/>
    <w:basedOn w:val="28"/>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0">
    <w:name w:val="Grid Table 3 - Accent 6"/>
    <w:basedOn w:val="28"/>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1">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28"/>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3">
    <w:name w:val="Grid Table 4 - Accent 2"/>
    <w:basedOn w:val="28"/>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4">
    <w:name w:val="Grid Table 4 - Accent 3"/>
    <w:basedOn w:val="28"/>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5">
    <w:name w:val="Grid Table 4 - Accent 4"/>
    <w:basedOn w:val="28"/>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6">
    <w:name w:val="Grid Table 4 - Accent 5"/>
    <w:basedOn w:val="28"/>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7">
    <w:name w:val="Grid Table 4 - Accent 6"/>
    <w:basedOn w:val="28"/>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8">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0">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1">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2">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3">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4">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5">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8"/>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8"/>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8"/>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basedOn w:val="28"/>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8"/>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1">
    <w:name w:val="Grid Table 6 Colorful - Accent 6"/>
    <w:basedOn w:val="28"/>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2">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8"/>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8"/>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8"/>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basedOn w:val="28"/>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8"/>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8">
    <w:name w:val="Grid Table 7 Colorful - Accent 6"/>
    <w:basedOn w:val="28"/>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09">
    <w:name w:val="List Table 1 Light"/>
    <w:basedOn w:val="28"/>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28"/>
    <w:qFormat/>
    <w:uiPriority w:val="99"/>
    <w:pPr>
      <w:spacing w:after="0" w:line="240" w:lineRule="auto"/>
    </w:pPr>
    <w:tbl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1">
    <w:name w:val="List Table 1 Light - Accent 2"/>
    <w:basedOn w:val="28"/>
    <w:qFormat/>
    <w:uiPriority w:val="99"/>
    <w:pPr>
      <w:spacing w:after="0" w:line="240" w:lineRule="auto"/>
    </w:pPr>
    <w:tbl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2">
    <w:name w:val="List Table 1 Light - Accent 3"/>
    <w:basedOn w:val="28"/>
    <w:qFormat/>
    <w:uiPriority w:val="99"/>
    <w:pPr>
      <w:spacing w:after="0" w:line="240" w:lineRule="auto"/>
    </w:pPr>
    <w:tbl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3">
    <w:name w:val="List Table 1 Light - Accent 4"/>
    <w:basedOn w:val="28"/>
    <w:qFormat/>
    <w:uiPriority w:val="99"/>
    <w:pPr>
      <w:spacing w:after="0" w:line="240" w:lineRule="auto"/>
    </w:pPr>
    <w:tbl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4">
    <w:name w:val="List Table 1 Light - Accent 5"/>
    <w:basedOn w:val="28"/>
    <w:qFormat/>
    <w:uiPriority w:val="99"/>
    <w:pPr>
      <w:spacing w:after="0" w:line="240" w:lineRule="auto"/>
    </w:pPr>
    <w:tbl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5">
    <w:name w:val="List Table 1 Light - Accent 6"/>
    <w:basedOn w:val="28"/>
    <w:qFormat/>
    <w:uiPriority w:val="99"/>
    <w:pPr>
      <w:spacing w:after="0" w:line="240" w:lineRule="auto"/>
    </w:pPr>
    <w:tbl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6">
    <w:name w:val="List Table 2"/>
    <w:basedOn w:val="2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28"/>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18">
    <w:name w:val="List Table 2 - Accent 2"/>
    <w:basedOn w:val="28"/>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19">
    <w:name w:val="List Table 2 - Accent 3"/>
    <w:basedOn w:val="28"/>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0">
    <w:name w:val="List Table 2 - Accent 4"/>
    <w:basedOn w:val="28"/>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1">
    <w:name w:val="List Table 2 - Accent 5"/>
    <w:basedOn w:val="28"/>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2">
    <w:name w:val="List Table 2 - Accent 6"/>
    <w:basedOn w:val="28"/>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3">
    <w:name w:val="List Table 3"/>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8"/>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5">
    <w:name w:val="List Table 3 - Accent 2"/>
    <w:basedOn w:val="28"/>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6">
    <w:name w:val="List Table 3 - Accent 3"/>
    <w:basedOn w:val="28"/>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7">
    <w:name w:val="List Table 3 - Accent 4"/>
    <w:basedOn w:val="28"/>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28">
    <w:name w:val="List Table 3 - Accent 5"/>
    <w:basedOn w:val="28"/>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29">
    <w:name w:val="List Table 3 - Accent 6"/>
    <w:basedOn w:val="28"/>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0">
    <w:name w:val="List Table 4"/>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28"/>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2">
    <w:name w:val="List Table 4 - Accent 2"/>
    <w:basedOn w:val="28"/>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3">
    <w:name w:val="List Table 4 - Accent 3"/>
    <w:basedOn w:val="28"/>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4">
    <w:name w:val="List Table 4 - Accent 4"/>
    <w:basedOn w:val="28"/>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5">
    <w:name w:val="List Table 4 - Accent 5"/>
    <w:basedOn w:val="28"/>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6">
    <w:name w:val="List Table 4 - Accent 6"/>
    <w:basedOn w:val="28"/>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7">
    <w:name w:val="List Table 5 Dark"/>
    <w:basedOn w:val="2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28"/>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39">
    <w:name w:val="List Table 5 Dark - Accent 2"/>
    <w:basedOn w:val="28"/>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0">
    <w:name w:val="List Table 5 Dark - Accent 3"/>
    <w:basedOn w:val="28"/>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1">
    <w:name w:val="List Table 5 Dark - Accent 4"/>
    <w:basedOn w:val="28"/>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2">
    <w:name w:val="List Table 5 Dark - Accent 5"/>
    <w:basedOn w:val="28"/>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3">
    <w:name w:val="List Table 5 Dark - Accent 6"/>
    <w:basedOn w:val="28"/>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4">
    <w:name w:val="List Table 6 Colorful"/>
    <w:basedOn w:val="2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8"/>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6">
    <w:name w:val="List Table 6 Colorful - Accent 2"/>
    <w:basedOn w:val="28"/>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8"/>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8"/>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8"/>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8"/>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2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8"/>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3">
    <w:name w:val="List Table 7 Colorful - Accent 2"/>
    <w:basedOn w:val="28"/>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8"/>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8"/>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8"/>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8"/>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8"/>
    <w:qForma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28"/>
    <w:qFormat/>
    <w:uiPriority w:val="99"/>
    <w:pPr>
      <w:spacing w:after="0" w:line="240" w:lineRule="auto"/>
    </w:pPr>
    <w:rPr>
      <w:color w:val="404040"/>
    </w:rP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0">
    <w:name w:val="Lined - Accent 2"/>
    <w:basedOn w:val="28"/>
    <w:qFormat/>
    <w:uiPriority w:val="99"/>
    <w:pPr>
      <w:spacing w:after="0" w:line="240" w:lineRule="auto"/>
    </w:pPr>
    <w:rPr>
      <w:color w:val="404040"/>
    </w:rP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1">
    <w:name w:val="Lined - Accent 3"/>
    <w:basedOn w:val="28"/>
    <w:qFormat/>
    <w:uiPriority w:val="99"/>
    <w:pPr>
      <w:spacing w:after="0" w:line="240" w:lineRule="auto"/>
    </w:pPr>
    <w:rPr>
      <w:color w:val="404040"/>
    </w:rP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2">
    <w:name w:val="Lined - Accent 4"/>
    <w:basedOn w:val="28"/>
    <w:qFormat/>
    <w:uiPriority w:val="99"/>
    <w:pPr>
      <w:spacing w:after="0" w:line="240" w:lineRule="auto"/>
    </w:pPr>
    <w:rPr>
      <w:color w:val="404040"/>
    </w:rP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3">
    <w:name w:val="Lined - Accent 5"/>
    <w:basedOn w:val="28"/>
    <w:qFormat/>
    <w:uiPriority w:val="99"/>
    <w:pPr>
      <w:spacing w:after="0" w:line="240" w:lineRule="auto"/>
    </w:pPr>
    <w:rPr>
      <w:color w:val="404040"/>
    </w:rP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4">
    <w:name w:val="Lined - Accent 6"/>
    <w:basedOn w:val="28"/>
    <w:qFormat/>
    <w:uiPriority w:val="99"/>
    <w:pPr>
      <w:spacing w:after="0" w:line="240" w:lineRule="auto"/>
    </w:pPr>
    <w:rPr>
      <w:color w:val="404040"/>
    </w:rP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5">
    <w:name w:val="Bordered &amp; Lined - Accent"/>
    <w:basedOn w:val="2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28"/>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7">
    <w:name w:val="Bordered &amp; Lined - Accent 2"/>
    <w:basedOn w:val="28"/>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8">
    <w:name w:val="Bordered &amp; Lined - Accent 3"/>
    <w:basedOn w:val="28"/>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9">
    <w:name w:val="Bordered &amp; Lined - Accent 4"/>
    <w:basedOn w:val="28"/>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0">
    <w:name w:val="Bordered &amp; Lined - Accent 5"/>
    <w:basedOn w:val="28"/>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1">
    <w:name w:val="Bordered &amp; Lined - Accent 6"/>
    <w:basedOn w:val="28"/>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2">
    <w:name w:val="Bordered"/>
    <w:basedOn w:val="2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8"/>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4">
    <w:name w:val="Bordered - Accent 2"/>
    <w:basedOn w:val="28"/>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5">
    <w:name w:val="Bordered - Accent 3"/>
    <w:basedOn w:val="28"/>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6">
    <w:name w:val="Bordered - Accent 4"/>
    <w:basedOn w:val="28"/>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7">
    <w:name w:val="Bordered - Accent 5"/>
    <w:basedOn w:val="28"/>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78">
    <w:name w:val="Bordered - Accent 6"/>
    <w:basedOn w:val="28"/>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uiPriority w:val="39"/>
    <w:rPr>
      <w:rFonts w:hint="default"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279</Words>
  <Characters>303</Characters>
  <TotalTime>0</TotalTime>
  <ScaleCrop>false</ScaleCrop>
  <LinksUpToDate>false</LinksUpToDate>
  <CharactersWithSpaces>376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2025-09-09T02:14:00Z</dcterms:created>
  <dc:creator>何</dc:creator>
  <cp:lastModifiedBy>LiaoWanFang</cp:lastModifiedBy>
  <dcterms:modified xsi:type="dcterms:W3CDTF">2025-11-18T07:40:06Z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606BCA94D3044818B6F9FA65389932F5_11</vt:lpwstr>
  </property>
  <property fmtid="{D5CDD505-2E9C-101B-9397-08002B2CF9AE}" pid="4" name="KSOTemplateDocerSaveRecord">
    <vt:lpwstr>eyJoZGlkIjoiZWY4YTdjODU0OTdjMzNhMjAwOTY1ZGY2MTViMWM4NGMiLCJ1c2VySWQiOiI2OTQ4MTc1NDIifQ==</vt:lpwstr>
  </property>
</Properties>
</file>