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A9B0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294C07B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2382366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5691AF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竞争性谈判文件</w:t>
      </w:r>
    </w:p>
    <w:p w14:paraId="5FA5E695">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6847F97">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7B95726">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79149D23">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2C144AA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36F6F12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533FFA30">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7AE418E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7EF6E15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招标编号：闽人院购后[2025]15</w:t>
      </w:r>
      <w:r>
        <w:rPr>
          <w:rFonts w:hint="eastAsia" w:ascii="宋体" w:hAnsi="宋体" w:eastAsia="宋体" w:cs="宋体"/>
          <w:b/>
          <w:color w:val="000000"/>
          <w:sz w:val="28"/>
          <w:lang w:val="en-US" w:eastAsia="zh-CN"/>
        </w:rPr>
        <w:t>-01</w:t>
      </w:r>
      <w:r>
        <w:rPr>
          <w:rFonts w:ascii="宋体" w:hAnsi="宋体" w:eastAsia="宋体" w:cs="宋体"/>
          <w:b/>
          <w:color w:val="000000"/>
          <w:sz w:val="28"/>
        </w:rPr>
        <w:t>号</w:t>
      </w:r>
    </w:p>
    <w:p w14:paraId="3EB4124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 xml:space="preserve"> 项目名称：从事煎药代煎工作人员配备服务项目</w:t>
      </w:r>
    </w:p>
    <w:p w14:paraId="084D69C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290EF07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8F18AE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BEE681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403A975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67D0779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26A71B0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3F50BE9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4EB3F7B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4DB6BD7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2025年11月</w:t>
      </w:r>
    </w:p>
    <w:p w14:paraId="44F81A1A">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0F471730">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一、竞争性谈判邀请</w:t>
      </w:r>
    </w:p>
    <w:p w14:paraId="642A99D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ascii="宋体" w:hAnsi="宋体" w:eastAsia="宋体" w:cs="宋体"/>
          <w:color w:val="000000"/>
          <w:sz w:val="24"/>
          <w:u w:val="single"/>
        </w:rPr>
        <w:t>从事煎药代煎工作人员配备服务项目</w:t>
      </w:r>
      <w:r>
        <w:rPr>
          <w:rFonts w:ascii="宋体" w:hAnsi="宋体" w:eastAsia="宋体" w:cs="宋体"/>
          <w:color w:val="000000"/>
          <w:sz w:val="24"/>
        </w:rPr>
        <w:t>进行院内竞争性谈判采购，现欢迎有能力提供服务的供应商前来提交密封的报价。</w:t>
      </w:r>
    </w:p>
    <w:p w14:paraId="55C6FC5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1.公示时间：2025年</w:t>
      </w:r>
      <w:r>
        <w:rPr>
          <w:rFonts w:hint="eastAsia" w:ascii="宋体" w:hAnsi="宋体" w:eastAsia="宋体" w:cs="宋体"/>
          <w:color w:val="000000"/>
          <w:sz w:val="24"/>
          <w:lang w:val="en-US" w:eastAsia="zh-CN"/>
        </w:rPr>
        <w:t>11</w:t>
      </w:r>
      <w:r>
        <w:rPr>
          <w:rFonts w:ascii="宋体" w:hAnsi="宋体" w:eastAsia="宋体" w:cs="宋体"/>
          <w:color w:val="000000"/>
          <w:sz w:val="24"/>
        </w:rPr>
        <w:t>月</w:t>
      </w:r>
      <w:r>
        <w:rPr>
          <w:rFonts w:hint="eastAsia" w:ascii="宋体" w:hAnsi="宋体" w:eastAsia="宋体" w:cs="宋体"/>
          <w:color w:val="000000"/>
          <w:sz w:val="24"/>
          <w:lang w:val="en-US" w:eastAsia="zh-CN"/>
        </w:rPr>
        <w:t>20</w:t>
      </w:r>
      <w:r>
        <w:rPr>
          <w:rFonts w:ascii="宋体" w:hAnsi="宋体" w:eastAsia="宋体" w:cs="宋体"/>
          <w:color w:val="000000"/>
          <w:sz w:val="24"/>
        </w:rPr>
        <w:t>日-2025年</w:t>
      </w:r>
      <w:r>
        <w:rPr>
          <w:rFonts w:hint="eastAsia" w:ascii="宋体" w:hAnsi="宋体" w:eastAsia="宋体" w:cs="宋体"/>
          <w:color w:val="000000"/>
          <w:sz w:val="24"/>
          <w:lang w:val="en-US" w:eastAsia="zh-CN"/>
        </w:rPr>
        <w:t>11</w:t>
      </w:r>
      <w:r>
        <w:rPr>
          <w:rFonts w:ascii="宋体" w:hAnsi="宋体" w:eastAsia="宋体" w:cs="宋体"/>
          <w:color w:val="000000"/>
          <w:sz w:val="24"/>
        </w:rPr>
        <w:t>月</w:t>
      </w:r>
      <w:r>
        <w:rPr>
          <w:rFonts w:hint="eastAsia" w:ascii="宋体" w:hAnsi="宋体" w:eastAsia="宋体" w:cs="宋体"/>
          <w:color w:val="000000"/>
          <w:sz w:val="24"/>
          <w:lang w:val="en-US" w:eastAsia="zh-CN"/>
        </w:rPr>
        <w:t>24</w:t>
      </w:r>
      <w:r>
        <w:rPr>
          <w:rFonts w:ascii="宋体" w:hAnsi="宋体" w:eastAsia="宋体" w:cs="宋体"/>
          <w:color w:val="000000"/>
          <w:sz w:val="24"/>
        </w:rPr>
        <w:t>日。</w:t>
      </w:r>
    </w:p>
    <w:p w14:paraId="1BC1AB9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2.递交投标文件截止时间：2025年</w:t>
      </w:r>
      <w:r>
        <w:rPr>
          <w:rFonts w:hint="eastAsia" w:ascii="宋体" w:hAnsi="宋体" w:eastAsia="宋体" w:cs="宋体"/>
          <w:color w:val="000000"/>
          <w:sz w:val="24"/>
          <w:lang w:val="en-US" w:eastAsia="zh-CN"/>
        </w:rPr>
        <w:t>12</w:t>
      </w:r>
      <w:r>
        <w:rPr>
          <w:rFonts w:ascii="宋体" w:hAnsi="宋体" w:eastAsia="宋体" w:cs="宋体"/>
          <w:color w:val="000000"/>
          <w:sz w:val="24"/>
        </w:rPr>
        <w:t>月</w:t>
      </w:r>
      <w:r>
        <w:rPr>
          <w:rFonts w:hint="eastAsia" w:ascii="宋体" w:hAnsi="宋体" w:eastAsia="宋体" w:cs="宋体"/>
          <w:color w:val="000000"/>
          <w:sz w:val="24"/>
          <w:lang w:val="en-US" w:eastAsia="zh-CN"/>
        </w:rPr>
        <w:t>25</w:t>
      </w:r>
      <w:r>
        <w:rPr>
          <w:rFonts w:ascii="宋体" w:hAnsi="宋体" w:eastAsia="宋体" w:cs="宋体"/>
          <w:color w:val="000000"/>
          <w:sz w:val="24"/>
        </w:rPr>
        <w:t>日，</w:t>
      </w:r>
      <w:r>
        <w:rPr>
          <w:rFonts w:hint="eastAsia" w:ascii="宋体" w:hAnsi="宋体" w:eastAsia="宋体" w:cs="宋体"/>
          <w:color w:val="000000"/>
          <w:sz w:val="24"/>
          <w:lang w:val="en-US" w:eastAsia="zh-CN"/>
        </w:rPr>
        <w:t>上午：09:30</w:t>
      </w:r>
      <w:r>
        <w:rPr>
          <w:rFonts w:ascii="宋体" w:hAnsi="宋体" w:eastAsia="宋体" w:cs="宋体"/>
          <w:color w:val="000000"/>
          <w:sz w:val="24"/>
        </w:rPr>
        <w:t xml:space="preserve">（北京时间）。 </w:t>
      </w:r>
    </w:p>
    <w:p w14:paraId="30C3E27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 xml:space="preserve">超过递交截止时间递交的投标文件恕不接受。投标文件递交后概不退还，逾期送达（以签到为准）、未送达指定地点及未按竞争性谈判文件要求密封的投标文件均不予接受。 </w:t>
      </w:r>
    </w:p>
    <w:p w14:paraId="64A6610D">
      <w:pPr>
        <w:pBdr>
          <w:top w:val="none" w:color="000000" w:sz="0" w:space="0"/>
          <w:left w:val="none" w:color="000000" w:sz="0" w:space="0"/>
          <w:bottom w:val="none" w:color="000000" w:sz="0" w:space="0"/>
          <w:right w:val="none" w:color="000000" w:sz="0" w:space="0"/>
        </w:pBdr>
        <w:spacing w:before="0" w:after="0" w:line="360" w:lineRule="auto"/>
        <w:ind w:left="357" w:right="0" w:firstLine="0"/>
      </w:pPr>
      <w:r>
        <w:rPr>
          <w:rFonts w:ascii="宋体" w:hAnsi="宋体" w:eastAsia="宋体" w:cs="宋体"/>
          <w:color w:val="000000"/>
          <w:sz w:val="24"/>
        </w:rPr>
        <w:t xml:space="preserve"> 3.评标开始时间：</w:t>
      </w:r>
      <w:bookmarkStart w:id="0" w:name="_GoBack"/>
      <w:r>
        <w:rPr>
          <w:rFonts w:ascii="宋体" w:hAnsi="宋体" w:eastAsia="宋体" w:cs="宋体"/>
          <w:b/>
          <w:bCs/>
          <w:color w:val="000000"/>
          <w:sz w:val="24"/>
        </w:rPr>
        <w:t>2025年</w:t>
      </w:r>
      <w:r>
        <w:rPr>
          <w:rFonts w:hint="eastAsia" w:ascii="宋体" w:hAnsi="宋体" w:eastAsia="宋体" w:cs="宋体"/>
          <w:b/>
          <w:bCs/>
          <w:color w:val="000000"/>
          <w:sz w:val="24"/>
          <w:lang w:val="en-US" w:eastAsia="zh-CN"/>
        </w:rPr>
        <w:t>12</w:t>
      </w:r>
      <w:r>
        <w:rPr>
          <w:rFonts w:ascii="宋体" w:hAnsi="宋体" w:eastAsia="宋体" w:cs="宋体"/>
          <w:b/>
          <w:bCs/>
          <w:color w:val="000000"/>
          <w:sz w:val="24"/>
        </w:rPr>
        <w:t>月</w:t>
      </w:r>
      <w:r>
        <w:rPr>
          <w:rFonts w:hint="eastAsia" w:ascii="宋体" w:hAnsi="宋体" w:eastAsia="宋体" w:cs="宋体"/>
          <w:b/>
          <w:bCs/>
          <w:color w:val="000000"/>
          <w:sz w:val="24"/>
          <w:lang w:val="en-US" w:eastAsia="zh-CN"/>
        </w:rPr>
        <w:t>25</w:t>
      </w:r>
      <w:r>
        <w:rPr>
          <w:rFonts w:ascii="宋体" w:hAnsi="宋体" w:eastAsia="宋体" w:cs="宋体"/>
          <w:b/>
          <w:bCs/>
          <w:color w:val="000000"/>
          <w:sz w:val="24"/>
        </w:rPr>
        <w:t>日，</w:t>
      </w:r>
      <w:r>
        <w:rPr>
          <w:rFonts w:hint="eastAsia" w:ascii="宋体" w:hAnsi="宋体" w:eastAsia="宋体" w:cs="宋体"/>
          <w:b/>
          <w:bCs/>
          <w:color w:val="000000"/>
          <w:sz w:val="24"/>
          <w:lang w:val="en-US" w:eastAsia="zh-CN"/>
        </w:rPr>
        <w:t>上午：09:30</w:t>
      </w:r>
      <w:r>
        <w:rPr>
          <w:rFonts w:ascii="宋体" w:hAnsi="宋体" w:eastAsia="宋体" w:cs="宋体"/>
          <w:b/>
          <w:bCs/>
          <w:color w:val="000000"/>
          <w:sz w:val="24"/>
        </w:rPr>
        <w:t>（北京时间）。</w:t>
      </w:r>
      <w:bookmarkEnd w:id="0"/>
      <w:r>
        <w:rPr>
          <w:rFonts w:ascii="宋体" w:hAnsi="宋体" w:eastAsia="宋体" w:cs="宋体"/>
          <w:b/>
          <w:bCs/>
          <w:color w:val="000000"/>
          <w:sz w:val="24"/>
        </w:rPr>
        <w:t xml:space="preserve"> </w:t>
      </w:r>
    </w:p>
    <w:p w14:paraId="641F9E39">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color w:val="000000"/>
          <w:spacing w:val="-6"/>
          <w:sz w:val="24"/>
        </w:rPr>
        <w:t>福建中医药大学附属人民医院6</w:t>
      </w:r>
      <w:r>
        <w:rPr>
          <w:rFonts w:ascii="宋体" w:hAnsi="宋体" w:eastAsia="宋体" w:cs="宋体"/>
          <w:b/>
          <w:color w:val="000000"/>
          <w:spacing w:val="-6"/>
          <w:sz w:val="24"/>
        </w:rPr>
        <w:t>号楼2层</w:t>
      </w:r>
      <w:r>
        <w:rPr>
          <w:rFonts w:hint="eastAsia" w:ascii="宋体" w:hAnsi="宋体" w:eastAsia="宋体" w:cs="宋体"/>
          <w:b/>
          <w:color w:val="000000"/>
          <w:spacing w:val="-6"/>
          <w:sz w:val="24"/>
          <w:lang w:val="en-US" w:eastAsia="zh-CN"/>
        </w:rPr>
        <w:t>会议室</w:t>
      </w:r>
      <w:r>
        <w:rPr>
          <w:rFonts w:ascii="宋体" w:hAnsi="宋体" w:eastAsia="宋体" w:cs="宋体"/>
          <w:color w:val="000000"/>
          <w:sz w:val="24"/>
        </w:rPr>
        <w:t>。</w:t>
      </w:r>
    </w:p>
    <w:p w14:paraId="45478624">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资产管理处1办公室，口头提交质疑澄清的问题不予接受。</w:t>
      </w:r>
    </w:p>
    <w:p w14:paraId="759D4D7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rPr>
        <w:t>福建中医药大学附属人民医院院内、院外网</w:t>
      </w:r>
      <w:r>
        <w:rPr>
          <w:rFonts w:ascii="宋体" w:hAnsi="宋体" w:eastAsia="宋体" w:cs="宋体"/>
          <w:color w:val="000000"/>
          <w:sz w:val="24"/>
        </w:rPr>
        <w:t xml:space="preserve">通知，请供应商随时关注相关网站，以免错漏重要信息。 </w:t>
      </w:r>
    </w:p>
    <w:p w14:paraId="69268C7A">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0589B95B">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联系人： 王先生  0591-83942123（办公室）</w:t>
      </w:r>
    </w:p>
    <w:p w14:paraId="07DBDFF3">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p w14:paraId="2A6BD483">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二、供应商须知</w:t>
      </w:r>
    </w:p>
    <w:p w14:paraId="324DFE0E">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0392D6D3">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7E44C1D5">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2.采购方式：院内竞争性谈判</w:t>
      </w:r>
    </w:p>
    <w:p w14:paraId="54FAB0C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2.1采购方组织的院内竞争性谈判按招标文件规定的时间和地点进行。投标人须在截止时间前递交投标文件。</w:t>
      </w:r>
    </w:p>
    <w:p w14:paraId="790BEF29">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2.2成交原则：</w:t>
      </w:r>
    </w:p>
    <w:p w14:paraId="095C76D6">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2.2.1本项目评审采用</w:t>
      </w:r>
      <w:r>
        <w:rPr>
          <w:rFonts w:ascii="宋体" w:hAnsi="宋体" w:eastAsia="宋体" w:cs="宋体"/>
          <w:b/>
          <w:color w:val="000000"/>
          <w:sz w:val="24"/>
          <w:u w:val="single"/>
        </w:rPr>
        <w:t>最低评标价法</w:t>
      </w:r>
      <w:r>
        <w:rPr>
          <w:rFonts w:ascii="宋体" w:hAnsi="宋体" w:eastAsia="宋体" w:cs="宋体"/>
          <w:color w:val="000000"/>
          <w:sz w:val="24"/>
        </w:rPr>
        <w:t>进行评审。</w:t>
      </w:r>
    </w:p>
    <w:p w14:paraId="4FC2E25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2.2.2定标：采购人授权评审小组根据完全满足采购的技术、质量、商务和服务的需求且最终报价最低的原则确定成交供应商。</w:t>
      </w:r>
    </w:p>
    <w:p w14:paraId="6A2BAC7B">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4E0D43B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2.2.4评标结果公示：竞争性谈判结果将在福建中医药大学附属人民医院院内网、院外网的公告栏目内公示。</w:t>
      </w:r>
    </w:p>
    <w:p w14:paraId="3E1936CA">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2.3成交通知：竞争性谈判结果将在福建中医药大学附属人民医院院内网、院外网的公告栏目内公示，公示期满无异议后，由采购人向中标供应商授予中标通知书。</w:t>
      </w:r>
    </w:p>
    <w:p w14:paraId="6D8E519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2.4签订合同：</w:t>
      </w:r>
    </w:p>
    <w:p w14:paraId="63D391E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2.4.1中标人收到中标通知书后5个工作日内须来我院办理合同签订手续。</w:t>
      </w:r>
    </w:p>
    <w:p w14:paraId="0DA203D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2.4.2招标文件、中标人的投标文件及有效承诺文件等，均为签订合同的依据。</w:t>
      </w:r>
    </w:p>
    <w:p w14:paraId="6F7944D9">
      <w:pPr>
        <w:pBdr>
          <w:top w:val="none" w:color="000000" w:sz="0" w:space="0"/>
          <w:left w:val="none" w:color="000000" w:sz="0" w:space="0"/>
          <w:bottom w:val="none" w:color="000000" w:sz="0" w:space="0"/>
          <w:right w:val="none" w:color="000000" w:sz="0" w:space="0"/>
        </w:pBdr>
        <w:spacing w:before="0" w:after="0" w:line="360" w:lineRule="auto"/>
        <w:ind w:left="0" w:right="0" w:firstLine="480"/>
        <w:rPr>
          <w:b/>
          <w:bCs/>
        </w:rPr>
      </w:pPr>
      <w:r>
        <w:rPr>
          <w:rFonts w:ascii="宋体" w:hAnsi="宋体" w:eastAsia="宋体" w:cs="宋体"/>
          <w:b/>
          <w:bCs/>
          <w:color w:val="000000"/>
          <w:sz w:val="24"/>
        </w:rPr>
        <w:t>2.4.3结算说明：</w:t>
      </w:r>
    </w:p>
    <w:p w14:paraId="184E5BE1">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b/>
          <w:bCs/>
          <w:snapToGrid/>
          <w:color w:val="000000"/>
          <w:sz w:val="24"/>
          <w:szCs w:val="24"/>
        </w:rPr>
      </w:pPr>
      <w:r>
        <w:rPr>
          <w:rFonts w:ascii="宋体" w:hAnsi="宋体" w:eastAsia="宋体" w:cs="宋体"/>
          <w:b/>
          <w:bCs/>
          <w:color w:val="000000"/>
          <w:sz w:val="24"/>
        </w:rPr>
        <w:t>（1）采取分月转帐付款方式，甲乙双方每月根据实际工作量确认的工时人数，按中标单价进行结算。</w:t>
      </w:r>
    </w:p>
    <w:p w14:paraId="00C8255C">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b/>
          <w:bCs/>
          <w:snapToGrid/>
          <w:color w:val="000000"/>
          <w:sz w:val="24"/>
          <w:szCs w:val="24"/>
        </w:rPr>
      </w:pPr>
      <w:r>
        <w:rPr>
          <w:rFonts w:ascii="宋体" w:hAnsi="宋体" w:eastAsia="宋体" w:cs="宋体"/>
          <w:b/>
          <w:bCs/>
          <w:color w:val="000000"/>
          <w:sz w:val="24"/>
        </w:rPr>
        <w:t xml:space="preserve">（2）经采购人使用科室考核确认后，中标人提交完整付款所需材料按合同月均期次金额办理付款手续，考核表详见附件一：中药代煎服务月度考核表。 </w:t>
      </w:r>
    </w:p>
    <w:p w14:paraId="502C73B2">
      <w:pPr>
        <w:pBdr>
          <w:top w:val="none" w:color="000000" w:sz="0" w:space="0"/>
          <w:left w:val="none" w:color="000000" w:sz="0" w:space="0"/>
          <w:bottom w:val="none" w:color="000000" w:sz="0" w:space="0"/>
          <w:right w:val="none" w:color="000000" w:sz="0" w:space="0"/>
        </w:pBdr>
        <w:spacing w:before="0" w:after="0"/>
        <w:ind w:left="0" w:right="0" w:firstLine="420"/>
      </w:pPr>
    </w:p>
    <w:p w14:paraId="02BC6A17">
      <w:pPr>
        <w:pBdr>
          <w:top w:val="none" w:color="000000" w:sz="0" w:space="0"/>
          <w:left w:val="none" w:color="000000" w:sz="0" w:space="0"/>
          <w:bottom w:val="none" w:color="000000" w:sz="0" w:space="0"/>
          <w:right w:val="none" w:color="000000" w:sz="0" w:space="0"/>
        </w:pBdr>
        <w:spacing w:before="0" w:after="0"/>
        <w:ind w:left="0" w:right="0" w:firstLine="420"/>
      </w:pPr>
    </w:p>
    <w:p w14:paraId="00A3B4AD">
      <w:pPr>
        <w:pBdr>
          <w:top w:val="none" w:color="000000" w:sz="0" w:space="0"/>
          <w:left w:val="none" w:color="000000" w:sz="0" w:space="0"/>
          <w:bottom w:val="none" w:color="000000" w:sz="0" w:space="0"/>
          <w:right w:val="none" w:color="000000" w:sz="0" w:space="0"/>
        </w:pBdr>
        <w:spacing w:before="0" w:after="0"/>
        <w:ind w:left="0" w:right="0" w:firstLine="420"/>
      </w:pPr>
    </w:p>
    <w:p w14:paraId="78882AB2">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pPr>
      <w:r>
        <w:rPr>
          <w:rFonts w:ascii="宋体" w:hAnsi="宋体" w:eastAsia="宋体" w:cs="宋体"/>
          <w:b/>
          <w:color w:val="000000"/>
          <w:sz w:val="36"/>
        </w:rPr>
        <w:t>三、招标项目具体要求</w:t>
      </w:r>
    </w:p>
    <w:p w14:paraId="13991337">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1.项目概况：</w:t>
      </w:r>
      <w:r>
        <w:rPr>
          <w:rFonts w:ascii="宋体" w:hAnsi="宋体" w:eastAsia="宋体" w:cs="宋体"/>
          <w:color w:val="333333"/>
          <w:sz w:val="24"/>
          <w:highlight w:val="white"/>
        </w:rPr>
        <w:t>我院现有煎药场地（含设备）已具备运营条件，地址位于闽侯县上街镇建平路95号A座</w:t>
      </w:r>
      <w:r>
        <w:rPr>
          <w:rFonts w:ascii="宋体" w:hAnsi="宋体" w:eastAsia="宋体" w:cs="宋体"/>
          <w:color w:val="000000"/>
          <w:sz w:val="24"/>
        </w:rPr>
        <w:t>，现拟委托一家有资质的单位承接我院</w:t>
      </w:r>
      <w:r>
        <w:rPr>
          <w:rFonts w:ascii="宋体" w:hAnsi="宋体" w:eastAsia="宋体" w:cs="宋体"/>
          <w:color w:val="333333"/>
          <w:sz w:val="24"/>
          <w:highlight w:val="white"/>
        </w:rPr>
        <w:t>从事煎药代煎工作的人员配备服务</w:t>
      </w:r>
      <w:r>
        <w:rPr>
          <w:rFonts w:ascii="宋体" w:hAnsi="宋体" w:eastAsia="宋体" w:cs="宋体"/>
          <w:color w:val="000000"/>
          <w:sz w:val="24"/>
        </w:rPr>
        <w:t>。</w:t>
      </w:r>
    </w:p>
    <w:p w14:paraId="172D973E">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2.资质要求：</w:t>
      </w:r>
    </w:p>
    <w:p w14:paraId="6DECE760">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2.1具有独立法人资格。</w:t>
      </w:r>
    </w:p>
    <w:p w14:paraId="417EFADF">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2.2具有有效的企业营业执照或事业单位法人证书。</w:t>
      </w:r>
    </w:p>
    <w:p w14:paraId="21763486">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2.3凡有能力提供本招标文件所述服务，具备本招标文件中规定条件的境内供应商均可参加本次采购活动。</w:t>
      </w:r>
    </w:p>
    <w:p w14:paraId="1ECD4E7F">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3.本项目招标控制价为</w:t>
      </w:r>
      <w:r>
        <w:rPr>
          <w:rFonts w:ascii="宋体" w:hAnsi="宋体" w:eastAsia="宋体" w:cs="宋体"/>
          <w:b/>
          <w:color w:val="000000"/>
          <w:sz w:val="24"/>
          <w:u w:val="single"/>
        </w:rPr>
        <w:t>490000元（大写人民币肆拾玖万元整）</w:t>
      </w:r>
      <w:r>
        <w:rPr>
          <w:rFonts w:ascii="宋体" w:hAnsi="宋体" w:eastAsia="宋体" w:cs="宋体"/>
          <w:color w:val="000000"/>
          <w:sz w:val="24"/>
        </w:rPr>
        <w:t>。投标人报价不得超过招标控制价，否则视为无效投标。</w:t>
      </w:r>
    </w:p>
    <w:p w14:paraId="59087C4D">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4.服务内容及要求：</w:t>
      </w:r>
    </w:p>
    <w:p w14:paraId="1183BDCE">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b w:val="0"/>
          <w:snapToGrid w:val="0"/>
          <w:color w:val="333333"/>
          <w:kern w:val="0"/>
          <w:sz w:val="24"/>
          <w:highlight w:val="white"/>
        </w:rPr>
        <w:t>4.1供应商需配备给医院的人员要求：</w:t>
      </w:r>
    </w:p>
    <w:p w14:paraId="3E66C265">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b w:val="0"/>
          <w:snapToGrid w:val="0"/>
          <w:color w:val="333333"/>
          <w:kern w:val="0"/>
          <w:sz w:val="24"/>
          <w:highlight w:val="white"/>
        </w:rPr>
        <w:t>4.1.1</w:t>
      </w:r>
      <w:r>
        <w:rPr>
          <w:rFonts w:ascii="宋体" w:hAnsi="宋体" w:eastAsia="宋体" w:cs="宋体"/>
          <w:snapToGrid w:val="0"/>
          <w:color w:val="333333"/>
          <w:kern w:val="0"/>
          <w:sz w:val="24"/>
          <w:highlight w:val="white"/>
        </w:rPr>
        <w:t>中药煎药员(8名)岗位要求：</w:t>
      </w:r>
    </w:p>
    <w:p w14:paraId="2802DF4B">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男女不限,50岁以下，高中以上学历。煎煮中药4人：8:30-12:00/12:30-16:00或者9:30-12:30/13:00-17:00；打包、复核4人：9:30-12:30/13:00-17:00或者10:00-13:00/13:30-17:30。一周（含周末）工作时长40个小时(不含午餐时间)。具体工作时间由院方使用科室根据实际工作需求统筹安排，供应商负责对员工工作进行调配，并且须保障员工的合法权益。</w:t>
      </w:r>
    </w:p>
    <w:p w14:paraId="1F0F1DB1">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b w:val="0"/>
          <w:snapToGrid w:val="0"/>
          <w:color w:val="333333"/>
          <w:kern w:val="0"/>
          <w:sz w:val="24"/>
          <w:highlight w:val="white"/>
        </w:rPr>
        <w:t>4.1.2中药煎药员岗位职责</w:t>
      </w:r>
    </w:p>
    <w:p w14:paraId="5E7DC6AA">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1）本岗位需要严格按照院方制定的药品煎煮标准流程执行，供应商需经院方专业人员培训后方可上岗，需掌握正确使用煎药设备及使用注意事项、煎煮中药的操作技巧、使用PDA等。供应商在院方专业人员指导下，保质保量完成中药的煎药工作；</w:t>
      </w:r>
    </w:p>
    <w:p w14:paraId="7FE1A368">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（2）定期、及时向主管汇报煎药室及过程中的问题，并能积极改善；</w:t>
      </w:r>
    </w:p>
    <w:p w14:paraId="292C0932">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（3）清洁及维护煎药机、包装机，保持煎药机、包装机及煎药室整洁；</w:t>
      </w:r>
    </w:p>
    <w:p w14:paraId="55631833">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（4）完成上级安排的其他工作任务。</w:t>
      </w:r>
    </w:p>
    <w:p w14:paraId="5EA68666">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b w:val="0"/>
          <w:snapToGrid w:val="0"/>
          <w:color w:val="333333"/>
          <w:kern w:val="0"/>
          <w:sz w:val="24"/>
          <w:highlight w:val="white"/>
        </w:rPr>
        <w:t>4.2服务要求</w:t>
      </w:r>
    </w:p>
    <w:p w14:paraId="112B64B4">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b w:val="0"/>
          <w:snapToGrid w:val="0"/>
          <w:color w:val="333333"/>
          <w:kern w:val="0"/>
          <w:sz w:val="24"/>
          <w:highlight w:val="white"/>
        </w:rPr>
        <w:t>4.2.1本项目服务地址位于闽侯县上街镇建平路95号A座，供应商在报价时须充分考虑到员工的交通、食宿等费用问题。</w:t>
      </w:r>
    </w:p>
    <w:p w14:paraId="5311CB71">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4.2.3供应商为医院配置的中药煎药员须与公司签订劳动合同，供应商应根据所在地政府要求缴交五险一金。中标方员工月工资不低于当期福州市政府颁布的最低工资标准。合同期内如果福州市最低工资标准、社保缴费基数、缴费比例提高或者其他社会福利、津贴增加，合同金额不作调整（供应商在报价时应充分考虑）。</w:t>
      </w:r>
    </w:p>
    <w:p w14:paraId="7BEFB8B7">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4.2.4供应商为医院配置的中药煎药员试用期考核合格者（由院方中药房进行考核）需至服务周期结束，不得随便更换人员；若试用期考核不合格者，供应商需马上为医院更换符合条件的人员。（试用期为一个月）</w:t>
      </w:r>
    </w:p>
    <w:p w14:paraId="0A553739">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4.2.5供应商不得随意更换人员，若因供应商原因更换人员的要提前一个月向采购人提出申请，经采购人同意后，在不影响采购人业务的情况下及时替换，对采购人业务造成影响的，采购人有权扣除该岗位人员月薪。</w:t>
      </w:r>
    </w:p>
    <w:p w14:paraId="1E2B743D">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4.3.6若供应商未按约定的到岗日配备人员或配备人员质量不能满足医院的要求的，采购人有权扣除该岗位人员双倍日薪，并在本月服务费按每人3000元扣除。</w:t>
      </w:r>
    </w:p>
    <w:p w14:paraId="3792EBF0">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4.3.7供应商若将推荐给采购人已任职的人员再推荐他处，视为违约；供应商违约需向采购人赔偿双倍的月薪。</w:t>
      </w:r>
    </w:p>
    <w:p w14:paraId="4AE78C3D">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4.3.8若因供应商原因引发纠纷，供应商应承担法律责任，采购人可要求其赔偿相关损失。同时供应商负责承担因自身原因所发生的一切安全事故的全部经济责任和法律责任。</w:t>
      </w:r>
    </w:p>
    <w:p w14:paraId="5ECB1013">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4.3.9院方中药房每月对供应商服务进行考核，院方根据相应考核结果支付供应商月服务费，考核表详见附件一：中药代煎服务月度考核表。</w:t>
      </w:r>
    </w:p>
    <w:p w14:paraId="061CD2BC">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5.本项目服务期限一年。</w:t>
      </w:r>
    </w:p>
    <w:p w14:paraId="495F30F2">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6.投标人必须提供在经营活动中没有违法记录的书面声明。</w:t>
      </w:r>
    </w:p>
    <w:p w14:paraId="25ADDA71">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7.本项目不接受联合体报价。</w:t>
      </w:r>
    </w:p>
    <w:p w14:paraId="779972AF">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p>
    <w:p w14:paraId="681DE3C0">
      <w:pPr>
        <w:pBdr>
          <w:top w:val="none" w:color="000000" w:sz="0" w:space="0"/>
          <w:left w:val="none" w:color="000000" w:sz="0" w:space="0"/>
          <w:bottom w:val="none" w:color="000000" w:sz="0" w:space="0"/>
          <w:right w:val="none" w:color="000000" w:sz="0" w:space="0"/>
        </w:pBdr>
        <w:spacing w:before="0" w:after="0" w:line="440" w:lineRule="atLeast"/>
        <w:ind w:left="0" w:right="0" w:firstLine="480"/>
      </w:pPr>
    </w:p>
    <w:p w14:paraId="292C941F">
      <w:pPr>
        <w:pBdr>
          <w:top w:val="none" w:color="000000" w:sz="0" w:space="0"/>
          <w:left w:val="none" w:color="000000" w:sz="0" w:space="0"/>
          <w:bottom w:val="none" w:color="000000" w:sz="0" w:space="0"/>
          <w:right w:val="none" w:color="000000" w:sz="0" w:space="0"/>
        </w:pBdr>
        <w:spacing w:before="0" w:after="0" w:line="440" w:lineRule="atLeast"/>
        <w:ind w:left="0" w:right="0" w:firstLine="480"/>
      </w:pPr>
    </w:p>
    <w:p w14:paraId="6AEECBE2">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r>
        <w:rPr>
          <w:rFonts w:ascii="宋体" w:hAnsi="宋体" w:eastAsia="宋体" w:cs="宋体"/>
          <w:b/>
          <w:color w:val="000000"/>
          <w:spacing w:val="-12"/>
          <w:sz w:val="36"/>
        </w:rPr>
        <w:t>四、投标文件的要求</w:t>
      </w:r>
    </w:p>
    <w:p w14:paraId="49E4B3B1">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r>
        <w:rPr>
          <w:rFonts w:ascii="宋体" w:hAnsi="宋体" w:eastAsia="宋体" w:cs="宋体"/>
          <w:b/>
          <w:color w:val="000000"/>
          <w:sz w:val="21"/>
        </w:rPr>
        <w:t>（包含但不限于以下要求）</w:t>
      </w:r>
    </w:p>
    <w:p w14:paraId="70492CB5">
      <w:pPr>
        <w:pBdr>
          <w:top w:val="none" w:color="000000" w:sz="0" w:space="0"/>
          <w:left w:val="none" w:color="000000" w:sz="0" w:space="0"/>
          <w:bottom w:val="none" w:color="000000" w:sz="0" w:space="0"/>
          <w:right w:val="none" w:color="000000" w:sz="0" w:space="0"/>
        </w:pBdr>
        <w:tabs>
          <w:tab w:val="left" w:pos="720"/>
        </w:tabs>
        <w:spacing w:before="0" w:after="0" w:line="520" w:lineRule="atLeast"/>
        <w:ind w:left="0" w:right="0" w:firstLine="434"/>
      </w:pPr>
      <w:r>
        <w:rPr>
          <w:rFonts w:ascii="宋体" w:hAnsi="宋体" w:eastAsia="宋体" w:cs="宋体"/>
          <w:b/>
          <w:color w:val="000000"/>
          <w:spacing w:val="-12"/>
          <w:sz w:val="24"/>
          <w:u w:val="single"/>
        </w:rPr>
        <w:t>供应商投标文件为一正三副，同时必须满足以下要求，否则视为无效投标。</w:t>
      </w:r>
    </w:p>
    <w:p w14:paraId="646D24BE">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1.报价表（放在投标文件首页）。</w:t>
      </w:r>
    </w:p>
    <w:p w14:paraId="32F2653C">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2.法定代表人身份证明书。</w:t>
      </w:r>
    </w:p>
    <w:p w14:paraId="565880EE">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3.法定代表人授权委托书原件并加盖公章(投标代表是法定代表人的无需提供)。</w:t>
      </w:r>
    </w:p>
    <w:p w14:paraId="38A543F5">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4.法定代表人及投标代表的有效身份证复印件。</w:t>
      </w:r>
    </w:p>
    <w:p w14:paraId="3285BD61">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5.服务承诺。</w:t>
      </w:r>
    </w:p>
    <w:p w14:paraId="0AAD8507">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6.无违法记录的书面声明。</w:t>
      </w:r>
    </w:p>
    <w:p w14:paraId="0F135515">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7.供应商注意事项：</w:t>
      </w:r>
    </w:p>
    <w:p w14:paraId="711A217E">
      <w:pPr>
        <w:pBdr>
          <w:top w:val="none" w:color="000000" w:sz="0" w:space="0"/>
          <w:left w:val="none" w:color="000000" w:sz="0" w:space="0"/>
          <w:bottom w:val="none" w:color="000000" w:sz="0" w:space="0"/>
          <w:right w:val="none" w:color="000000" w:sz="0" w:space="0"/>
        </w:pBdr>
        <w:spacing w:before="0" w:after="0" w:line="520" w:lineRule="atLeast"/>
        <w:ind w:left="0" w:right="0" w:firstLine="480"/>
      </w:pPr>
      <w:r>
        <w:rPr>
          <w:rFonts w:ascii="宋体" w:hAnsi="宋体" w:eastAsia="宋体" w:cs="宋体"/>
          <w:color w:val="000000"/>
          <w:sz w:val="24"/>
        </w:rPr>
        <w:t>（1）以上内容没有规定格式的请各供应商自行设计格式编写；</w:t>
      </w:r>
    </w:p>
    <w:p w14:paraId="55B2D8F0">
      <w:pPr>
        <w:pBdr>
          <w:top w:val="none" w:color="000000" w:sz="0" w:space="0"/>
          <w:left w:val="none" w:color="000000" w:sz="0" w:space="0"/>
          <w:bottom w:val="none" w:color="000000" w:sz="0" w:space="0"/>
          <w:right w:val="none" w:color="000000" w:sz="0" w:space="0"/>
        </w:pBdr>
        <w:spacing w:before="0" w:after="0" w:line="520" w:lineRule="atLeast"/>
        <w:ind w:left="0" w:right="0" w:firstLine="480"/>
      </w:pPr>
      <w:r>
        <w:rPr>
          <w:rFonts w:ascii="宋体" w:hAnsi="宋体" w:eastAsia="宋体" w:cs="宋体"/>
          <w:color w:val="000000"/>
          <w:sz w:val="24"/>
        </w:rPr>
        <w:t>（2）</w:t>
      </w:r>
      <w:r>
        <w:rPr>
          <w:rFonts w:ascii="宋体" w:hAnsi="宋体" w:eastAsia="宋体" w:cs="宋体"/>
          <w:color w:val="000000"/>
          <w:sz w:val="24"/>
          <w:u w:val="single"/>
        </w:rPr>
        <w:t>正本的每一页</w:t>
      </w:r>
      <w:r>
        <w:rPr>
          <w:rFonts w:ascii="宋体" w:hAnsi="宋体" w:eastAsia="宋体" w:cs="宋体"/>
          <w:color w:val="000000"/>
          <w:sz w:val="24"/>
        </w:rPr>
        <w:t>须加盖公章，以上材料须</w:t>
      </w:r>
      <w:r>
        <w:rPr>
          <w:rFonts w:ascii="宋体" w:hAnsi="宋体" w:eastAsia="宋体" w:cs="宋体"/>
          <w:color w:val="000000"/>
          <w:sz w:val="24"/>
          <w:u w:val="single"/>
        </w:rPr>
        <w:t>装订成册并密封</w:t>
      </w:r>
      <w:r>
        <w:rPr>
          <w:rFonts w:ascii="宋体" w:hAnsi="宋体" w:eastAsia="宋体" w:cs="宋体"/>
          <w:color w:val="000000"/>
          <w:sz w:val="24"/>
        </w:rPr>
        <w:t>。</w:t>
      </w:r>
    </w:p>
    <w:p w14:paraId="53454569">
      <w:pPr>
        <w:pBdr>
          <w:top w:val="none" w:color="000000" w:sz="0" w:space="0"/>
          <w:left w:val="none" w:color="000000" w:sz="0" w:space="0"/>
          <w:bottom w:val="none" w:color="000000" w:sz="0" w:space="0"/>
          <w:right w:val="none" w:color="000000" w:sz="0" w:space="0"/>
        </w:pBdr>
        <w:spacing w:before="0" w:after="0"/>
        <w:ind w:left="0" w:right="0" w:firstLine="0"/>
      </w:pPr>
    </w:p>
    <w:p w14:paraId="31081819">
      <w:pPr>
        <w:pBdr>
          <w:top w:val="none" w:color="000000" w:sz="0" w:space="0"/>
          <w:left w:val="none" w:color="000000" w:sz="0" w:space="0"/>
          <w:bottom w:val="none" w:color="000000" w:sz="0" w:space="0"/>
          <w:right w:val="none" w:color="000000" w:sz="0" w:space="0"/>
        </w:pBdr>
        <w:spacing w:before="0" w:after="0"/>
        <w:ind w:left="0" w:right="0" w:firstLine="0"/>
      </w:pPr>
    </w:p>
    <w:p w14:paraId="4AD5FA45">
      <w:pPr>
        <w:pBdr>
          <w:top w:val="none" w:color="000000" w:sz="0" w:space="0"/>
          <w:left w:val="none" w:color="000000" w:sz="0" w:space="0"/>
          <w:bottom w:val="none" w:color="000000" w:sz="0" w:space="0"/>
          <w:right w:val="none" w:color="000000" w:sz="0" w:space="0"/>
        </w:pBdr>
        <w:spacing w:before="0" w:after="0"/>
        <w:ind w:left="0" w:right="0" w:firstLine="0"/>
      </w:pPr>
    </w:p>
    <w:p w14:paraId="70206E67">
      <w:pPr>
        <w:pBdr>
          <w:top w:val="none" w:color="000000" w:sz="0" w:space="0"/>
          <w:left w:val="none" w:color="000000" w:sz="0" w:space="0"/>
          <w:bottom w:val="none" w:color="000000" w:sz="0" w:space="0"/>
          <w:right w:val="none" w:color="000000" w:sz="0" w:space="0"/>
        </w:pBdr>
        <w:spacing w:before="0" w:after="0" w:line="380" w:lineRule="atLeast"/>
        <w:ind w:left="0" w:right="0" w:firstLine="0"/>
        <w:jc w:val="center"/>
      </w:pPr>
      <w:r>
        <w:rPr>
          <w:rFonts w:ascii="宋体" w:hAnsi="宋体" w:eastAsia="宋体" w:cs="宋体"/>
          <w:b/>
          <w:color w:val="000000"/>
          <w:spacing w:val="-12"/>
          <w:sz w:val="36"/>
        </w:rPr>
        <w:t>五、报价表</w:t>
      </w:r>
    </w:p>
    <w:p w14:paraId="3F150D41">
      <w:pPr>
        <w:pBdr>
          <w:top w:val="none" w:color="000000" w:sz="0" w:space="0"/>
          <w:left w:val="none" w:color="000000" w:sz="0" w:space="0"/>
          <w:bottom w:val="none" w:color="000000" w:sz="0" w:space="0"/>
          <w:right w:val="none" w:color="000000" w:sz="0" w:space="0"/>
        </w:pBdr>
        <w:spacing w:before="0" w:after="0"/>
        <w:ind w:left="0" w:right="0" w:firstLine="0"/>
      </w:pPr>
    </w:p>
    <w:tbl>
      <w:tblPr>
        <w:tblStyle w:val="29"/>
        <w:tblW w:w="0" w:type="auto"/>
        <w:tblCaption w:val="Table49ry"/>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677"/>
        <w:gridCol w:w="2597"/>
        <w:gridCol w:w="1391"/>
        <w:gridCol w:w="2071"/>
        <w:gridCol w:w="1786"/>
      </w:tblGrid>
      <w:tr w14:paraId="7C4560E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8" w:hRule="atLeast"/>
        </w:trPr>
        <w:tc>
          <w:tcPr>
            <w:tcW w:w="725"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7955F1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序号</w:t>
            </w:r>
          </w:p>
        </w:tc>
        <w:tc>
          <w:tcPr>
            <w:tcW w:w="284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6B95182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公司名称</w:t>
            </w:r>
          </w:p>
        </w:tc>
        <w:tc>
          <w:tcPr>
            <w:tcW w:w="1514"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273F484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数量（人）</w:t>
            </w:r>
          </w:p>
        </w:tc>
        <w:tc>
          <w:tcPr>
            <w:tcW w:w="2265"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3F8CF5A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单价（元/人/月）</w:t>
            </w:r>
          </w:p>
        </w:tc>
        <w:tc>
          <w:tcPr>
            <w:tcW w:w="1949"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4E4596E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报价（元/月）</w:t>
            </w:r>
          </w:p>
        </w:tc>
      </w:tr>
      <w:tr w14:paraId="1558BDB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8" w:hRule="atLeast"/>
        </w:trPr>
        <w:tc>
          <w:tcPr>
            <w:tcW w:w="725"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DCB11E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w:t>
            </w:r>
          </w:p>
        </w:tc>
        <w:tc>
          <w:tcPr>
            <w:tcW w:w="284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F6686B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1514"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161571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8</w:t>
            </w:r>
          </w:p>
        </w:tc>
        <w:tc>
          <w:tcPr>
            <w:tcW w:w="2265"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313EDB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1949"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6A09EB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14:paraId="18F99A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4" w:hRule="atLeast"/>
        </w:trPr>
        <w:tc>
          <w:tcPr>
            <w:tcW w:w="5085" w:type="dxa"/>
            <w:gridSpan w:val="3"/>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555D47B6">
            <w:pPr>
              <w:pBdr>
                <w:top w:val="none" w:color="000000" w:sz="0" w:space="0"/>
                <w:left w:val="none" w:color="000000" w:sz="0" w:space="0"/>
                <w:bottom w:val="none" w:color="000000" w:sz="0" w:space="0"/>
                <w:right w:val="none" w:color="000000" w:sz="0" w:space="0"/>
              </w:pBdr>
              <w:spacing w:before="0" w:after="0" w:line="240" w:lineRule="auto"/>
              <w:ind w:left="0" w:right="0" w:firstLine="0"/>
              <w:jc w:val="right"/>
            </w:pPr>
            <w:r>
              <w:rPr>
                <w:rFonts w:ascii="宋体" w:hAnsi="宋体" w:eastAsia="宋体" w:cs="宋体"/>
                <w:color w:val="000000"/>
                <w:sz w:val="24"/>
              </w:rPr>
              <w:t>合计金额（元/年）</w:t>
            </w:r>
          </w:p>
        </w:tc>
        <w:tc>
          <w:tcPr>
            <w:tcW w:w="4214" w:type="dxa"/>
            <w:gridSpan w:val="2"/>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FFFB7D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14:paraId="5D4454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52" w:hRule="atLeast"/>
        </w:trPr>
        <w:tc>
          <w:tcPr>
            <w:tcW w:w="9298" w:type="dxa"/>
            <w:gridSpan w:val="5"/>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EA2B1B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备注：本报价包含人工、食宿及税费等一切费用</w:t>
            </w:r>
          </w:p>
        </w:tc>
      </w:tr>
    </w:tbl>
    <w:p w14:paraId="34FFD62B">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50214360">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019DCF8F">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z w:val="21"/>
          <w:szCs w:val="21"/>
        </w:rPr>
      </w:pPr>
    </w:p>
    <w:p w14:paraId="011071D8">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4E04233B">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270DD187">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42ECAEC9">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43963EEE">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59E0A75C">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54999BDF">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01616532">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0BA15A41">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05CFF89E">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367DD82E">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624760D9">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1A045713">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pPr>
      <w:r>
        <w:rPr>
          <w:rFonts w:ascii="宋体" w:hAnsi="宋体" w:eastAsia="宋体" w:cs="宋体"/>
          <w:b/>
          <w:color w:val="333333"/>
          <w:sz w:val="32"/>
          <w:highlight w:val="white"/>
        </w:rPr>
        <w:t>附件一：中药代煎服务月度考核表：</w:t>
      </w:r>
    </w:p>
    <w:tbl>
      <w:tblPr>
        <w:tblStyle w:val="29"/>
        <w:tblW w:w="0" w:type="auto"/>
        <w:tblCaption w:val="Tabley30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710"/>
        <w:gridCol w:w="2693"/>
        <w:gridCol w:w="992"/>
        <w:gridCol w:w="1984"/>
        <w:gridCol w:w="850"/>
        <w:gridCol w:w="1134"/>
      </w:tblGrid>
      <w:tr w14:paraId="5DAA45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2" w:hRule="atLeast"/>
        </w:trPr>
        <w:tc>
          <w:tcPr>
            <w:tcW w:w="9363" w:type="dxa"/>
            <w:gridSpan w:val="6"/>
            <w:tcBorders>
              <w:top w:val="nil"/>
              <w:left w:val="nil"/>
              <w:bottom w:val="nil"/>
              <w:right w:val="nil"/>
            </w:tcBorders>
            <w:noWrap w:val="0"/>
            <w:tcMar>
              <w:top w:w="0" w:type="dxa"/>
              <w:left w:w="108" w:type="dxa"/>
              <w:bottom w:w="0" w:type="dxa"/>
              <w:right w:w="108" w:type="dxa"/>
            </w:tcMar>
            <w:vAlign w:val="center"/>
          </w:tcPr>
          <w:p w14:paraId="433DF67A">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福建中医药大学附属人民医院中药代煎服务月度考核表   （共100分）</w:t>
            </w:r>
          </w:p>
        </w:tc>
      </w:tr>
      <w:tr w14:paraId="03DDD64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32" w:hRule="atLeast"/>
        </w:trPr>
        <w:tc>
          <w:tcPr>
            <w:tcW w:w="4402" w:type="dxa"/>
            <w:gridSpan w:val="2"/>
            <w:tcBorders>
              <w:top w:val="nil"/>
              <w:left w:val="nil"/>
              <w:bottom w:val="nil"/>
              <w:right w:val="nil"/>
            </w:tcBorders>
            <w:noWrap/>
            <w:tcMar>
              <w:top w:w="0" w:type="dxa"/>
              <w:left w:w="108" w:type="dxa"/>
              <w:bottom w:w="0" w:type="dxa"/>
              <w:right w:w="108" w:type="dxa"/>
            </w:tcMar>
            <w:vAlign w:val="center"/>
          </w:tcPr>
          <w:p w14:paraId="6ECAF669">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r>
              <w:rPr>
                <w:rFonts w:ascii="宋体" w:hAnsi="宋体" w:eastAsia="宋体" w:cs="宋体"/>
                <w:color w:val="333333"/>
                <w:sz w:val="21"/>
                <w:szCs w:val="21"/>
                <w:highlight w:val="white"/>
              </w:rPr>
              <w:t xml:space="preserve">考核时间：            </w:t>
            </w:r>
          </w:p>
        </w:tc>
        <w:tc>
          <w:tcPr>
            <w:tcW w:w="992" w:type="dxa"/>
            <w:tcBorders>
              <w:top w:val="nil"/>
              <w:left w:val="nil"/>
              <w:bottom w:val="nil"/>
              <w:right w:val="nil"/>
            </w:tcBorders>
            <w:noWrap/>
            <w:tcMar>
              <w:top w:w="0" w:type="dxa"/>
              <w:left w:w="108" w:type="dxa"/>
              <w:bottom w:w="0" w:type="dxa"/>
              <w:right w:w="108" w:type="dxa"/>
            </w:tcMar>
            <w:vAlign w:val="center"/>
          </w:tcPr>
          <w:p w14:paraId="590AD4C3">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984" w:type="dxa"/>
            <w:tcBorders>
              <w:top w:val="nil"/>
              <w:left w:val="nil"/>
              <w:bottom w:val="nil"/>
              <w:right w:val="nil"/>
            </w:tcBorders>
            <w:noWrap/>
            <w:tcMar>
              <w:top w:w="0" w:type="dxa"/>
              <w:left w:w="108" w:type="dxa"/>
              <w:bottom w:w="0" w:type="dxa"/>
              <w:right w:w="108" w:type="dxa"/>
            </w:tcMar>
            <w:vAlign w:val="center"/>
          </w:tcPr>
          <w:p w14:paraId="2CFB9A1C">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r>
              <w:rPr>
                <w:rFonts w:ascii="宋体" w:hAnsi="宋体" w:eastAsia="宋体" w:cs="宋体"/>
                <w:color w:val="333333"/>
                <w:sz w:val="21"/>
                <w:szCs w:val="21"/>
                <w:highlight w:val="white"/>
              </w:rPr>
              <w:t xml:space="preserve"> 总得分：</w:t>
            </w:r>
          </w:p>
        </w:tc>
        <w:tc>
          <w:tcPr>
            <w:tcW w:w="850" w:type="dxa"/>
            <w:tcBorders>
              <w:top w:val="nil"/>
              <w:left w:val="nil"/>
              <w:bottom w:val="nil"/>
              <w:right w:val="nil"/>
            </w:tcBorders>
            <w:noWrap/>
            <w:tcMar>
              <w:top w:w="0" w:type="dxa"/>
              <w:left w:w="108" w:type="dxa"/>
              <w:bottom w:w="0" w:type="dxa"/>
              <w:right w:w="108" w:type="dxa"/>
            </w:tcMar>
            <w:vAlign w:val="center"/>
          </w:tcPr>
          <w:p w14:paraId="3BA46064">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nil"/>
              <w:left w:val="nil"/>
              <w:bottom w:val="nil"/>
              <w:right w:val="nil"/>
            </w:tcBorders>
            <w:noWrap/>
            <w:tcMar>
              <w:top w:w="0" w:type="dxa"/>
              <w:left w:w="108" w:type="dxa"/>
              <w:bottom w:w="0" w:type="dxa"/>
              <w:right w:w="108" w:type="dxa"/>
            </w:tcMar>
            <w:vAlign w:val="center"/>
          </w:tcPr>
          <w:p w14:paraId="746433E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2BA2AE1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57" w:hRule="atLeast"/>
        </w:trPr>
        <w:tc>
          <w:tcPr>
            <w:tcW w:w="4402" w:type="dxa"/>
            <w:gridSpan w:val="2"/>
            <w:tcBorders>
              <w:top w:val="nil"/>
              <w:left w:val="nil"/>
              <w:bottom w:val="single" w:color="000000" w:sz="4" w:space="0"/>
              <w:right w:val="nil"/>
            </w:tcBorders>
            <w:noWrap/>
            <w:tcMar>
              <w:top w:w="0" w:type="dxa"/>
              <w:left w:w="108" w:type="dxa"/>
              <w:bottom w:w="0" w:type="dxa"/>
              <w:right w:w="108" w:type="dxa"/>
            </w:tcMar>
            <w:vAlign w:val="center"/>
          </w:tcPr>
          <w:p w14:paraId="4C5052F0">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r>
              <w:rPr>
                <w:rFonts w:ascii="宋体" w:hAnsi="宋体" w:eastAsia="宋体" w:cs="宋体"/>
                <w:color w:val="333333"/>
                <w:sz w:val="21"/>
                <w:szCs w:val="21"/>
                <w:highlight w:val="white"/>
              </w:rPr>
              <w:t xml:space="preserve">考核部门：                                                   </w:t>
            </w:r>
          </w:p>
        </w:tc>
        <w:tc>
          <w:tcPr>
            <w:tcW w:w="992" w:type="dxa"/>
            <w:tcBorders>
              <w:top w:val="nil"/>
              <w:left w:val="nil"/>
              <w:bottom w:val="single" w:color="000000" w:sz="4" w:space="0"/>
              <w:right w:val="nil"/>
            </w:tcBorders>
            <w:noWrap/>
            <w:tcMar>
              <w:top w:w="0" w:type="dxa"/>
              <w:left w:w="108" w:type="dxa"/>
              <w:bottom w:w="0" w:type="dxa"/>
              <w:right w:w="108" w:type="dxa"/>
            </w:tcMar>
            <w:vAlign w:val="center"/>
          </w:tcPr>
          <w:p w14:paraId="4E847C31">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984" w:type="dxa"/>
            <w:tcBorders>
              <w:top w:val="nil"/>
              <w:left w:val="nil"/>
              <w:bottom w:val="single" w:color="000000" w:sz="4" w:space="0"/>
              <w:right w:val="nil"/>
            </w:tcBorders>
            <w:noWrap/>
            <w:tcMar>
              <w:top w:w="0" w:type="dxa"/>
              <w:left w:w="108" w:type="dxa"/>
              <w:bottom w:w="0" w:type="dxa"/>
              <w:right w:w="108" w:type="dxa"/>
            </w:tcMar>
            <w:vAlign w:val="center"/>
          </w:tcPr>
          <w:p w14:paraId="24B14DD1">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 xml:space="preserve">考核人员签字： </w:t>
            </w:r>
          </w:p>
        </w:tc>
        <w:tc>
          <w:tcPr>
            <w:tcW w:w="850" w:type="dxa"/>
            <w:tcBorders>
              <w:top w:val="nil"/>
              <w:left w:val="nil"/>
              <w:bottom w:val="single" w:color="000000" w:sz="4" w:space="0"/>
              <w:right w:val="nil"/>
            </w:tcBorders>
            <w:noWrap/>
            <w:tcMar>
              <w:top w:w="0" w:type="dxa"/>
              <w:left w:w="108" w:type="dxa"/>
              <w:bottom w:w="0" w:type="dxa"/>
              <w:right w:w="108" w:type="dxa"/>
            </w:tcMar>
            <w:vAlign w:val="center"/>
          </w:tcPr>
          <w:p w14:paraId="5CF39ACA">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nil"/>
              <w:left w:val="nil"/>
              <w:bottom w:val="single" w:color="000000" w:sz="4" w:space="0"/>
              <w:right w:val="nil"/>
            </w:tcBorders>
            <w:noWrap/>
            <w:tcMar>
              <w:top w:w="0" w:type="dxa"/>
              <w:left w:w="108" w:type="dxa"/>
              <w:bottom w:w="0" w:type="dxa"/>
              <w:right w:w="108" w:type="dxa"/>
            </w:tcMar>
            <w:vAlign w:val="center"/>
          </w:tcPr>
          <w:p w14:paraId="3B2CCFAE">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39506F2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24" w:hRule="atLeast"/>
        </w:trPr>
        <w:tc>
          <w:tcPr>
            <w:tcW w:w="4402"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69AAD13">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r>
              <w:rPr>
                <w:rFonts w:ascii="宋体" w:hAnsi="宋体" w:eastAsia="宋体" w:cs="宋体"/>
                <w:color w:val="333333"/>
                <w:sz w:val="21"/>
                <w:szCs w:val="21"/>
                <w:highlight w:val="white"/>
              </w:rPr>
              <w:t>考核内容</w:t>
            </w:r>
          </w:p>
        </w:tc>
        <w:tc>
          <w:tcPr>
            <w:tcW w:w="99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75459D7">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分值</w:t>
            </w:r>
          </w:p>
        </w:tc>
        <w:tc>
          <w:tcPr>
            <w:tcW w:w="198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84AE71D">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r>
              <w:rPr>
                <w:rFonts w:ascii="宋体" w:hAnsi="宋体" w:eastAsia="宋体" w:cs="宋体"/>
                <w:color w:val="333333"/>
                <w:sz w:val="21"/>
                <w:szCs w:val="21"/>
                <w:highlight w:val="white"/>
              </w:rPr>
              <w:t>评分标准</w:t>
            </w:r>
          </w:p>
        </w:tc>
        <w:tc>
          <w:tcPr>
            <w:tcW w:w="85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DC49A4">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扣分</w:t>
            </w: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24C3584">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扣分说明</w:t>
            </w:r>
          </w:p>
        </w:tc>
      </w:tr>
      <w:tr w14:paraId="143A0B5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12" w:hRule="atLeast"/>
        </w:trPr>
        <w:tc>
          <w:tcPr>
            <w:tcW w:w="171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572C18B">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一、员工面貌</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601582">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1、是否按规定着装（工作期间必须穿着工作服、口罩、工作帽、工作鞋，且要穿戴整齐）</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E443D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014843">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未穿着工作服每人次扣0.5分，工作服脏污每人次扣0.5分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3AFDF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D49584F">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74F2C06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07"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3DB8B3B5">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B4096F">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2、服务人员按排班上下班，不迟到、不早退、不旷工</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D33E2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553EB7">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迟到、早退每人次扣0.5，旷工每人次扣2分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1226F0">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C80DC5">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2209A9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67"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5A97CF01">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65ECC3">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3、公共区域卫生是否及时整理、整顿，无明显污渍，下班前是否进行清洁、整顿、消毒等。</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361BB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5100E">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卫生不合格一次扣0.5分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3C3F1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55DB119">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0D0F3E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3" w:hRule="atLeast"/>
        </w:trPr>
        <w:tc>
          <w:tcPr>
            <w:tcW w:w="171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FF72BEC">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二、煎药工作</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61C60C">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1、煎药是否按规定煎药方案执行，是否正常扫码</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ABEE0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E4D89E">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操作不规范每人次扣0.5分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068F69">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D4A70F">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6C900DC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3F2758B1">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128CCC">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2、服务人员是否能在规定时间内完成煎药任务，且按要求对成品药液进行准确包装、核对</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824F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B9B1FA">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无法按时完成工作，视情况扣5-10分；未按规范进行包装、核对，视情况扣2-5分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E6FFD5">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EDE84A8">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5462989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3"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7645D0D6">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2C24FD">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3、按要求完成成品药液装卸工作</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2462A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A8D619">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未按规范装卸扣2-5分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CFE93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6E0C2DF">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1BC4D20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27"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6DF22487">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36DCCF">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4、是否一锅一清，煎药设施、设备、容器使用前清洁，使用后按规范清洗干净，是否清洁、无污垢。</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1F4AD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1485C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查到不合格一次扣0.5分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29C4E2">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333282E">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3875E6C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457"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0FA9A492">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4CE618">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5、定时定点按规范进行垃圾、药渣的清理及处置</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F4E15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E84FB9">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未按时进行清理每次扣0.5分，操作不规范每人次扣0.5分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500DB5">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93B1F0">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12C7E6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8" w:hRule="atLeast"/>
        </w:trPr>
        <w:tc>
          <w:tcPr>
            <w:tcW w:w="171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8FD213">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三、其它部分</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264407">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1、提供装卸、搬运用具工具等</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339AF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5</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7DC724">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未提供扣5分，用具、工具不齐全视情况扣2-5分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7DD5F2">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1E5AF2B">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53DF9C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7"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550CDC53">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2AE638">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2、提供保洁用品、用具</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2B792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5</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B7A2C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未提供扣5分，用品、工具不齐全视情况扣2-5分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56A627">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F2C38FC">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31B0FD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37"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279892E7">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8C35B4">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3、除以上外，是否存在其它违反管理制度、岗位职责、操作规程的事项。</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91D7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06F68B">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视情况扣2-5分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F8E0F8">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5E21F51">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11C578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8" w:hRule="atLeast"/>
        </w:trPr>
        <w:tc>
          <w:tcPr>
            <w:tcW w:w="9363" w:type="dxa"/>
            <w:gridSpan w:val="6"/>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14:paraId="46F005AA">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r>
              <w:rPr>
                <w:rFonts w:ascii="宋体" w:hAnsi="宋体" w:eastAsia="宋体" w:cs="宋体"/>
                <w:color w:val="333333"/>
                <w:sz w:val="21"/>
                <w:szCs w:val="21"/>
                <w:highlight w:val="white"/>
              </w:rPr>
              <w:t>备注：</w:t>
            </w:r>
          </w:p>
        </w:tc>
      </w:tr>
      <w:tr w14:paraId="7705956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531" w:hRule="atLeast"/>
        </w:trPr>
        <w:tc>
          <w:tcPr>
            <w:tcW w:w="9363" w:type="dxa"/>
            <w:gridSpan w:val="6"/>
            <w:tcBorders>
              <w:top w:val="nil"/>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F7380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1、分值累计总分为100分，评分得分=分值-累计扣分；</w:t>
            </w:r>
            <w:r>
              <w:rPr>
                <w:rFonts w:ascii="宋体" w:hAnsi="宋体" w:eastAsia="宋体" w:cs="宋体"/>
                <w:color w:val="333333"/>
                <w:sz w:val="21"/>
                <w:szCs w:val="21"/>
                <w:highlight w:val="white"/>
              </w:rPr>
              <w:br w:type="textWrapping"/>
            </w:r>
            <w:r>
              <w:rPr>
                <w:rFonts w:ascii="宋体" w:hAnsi="宋体" w:eastAsia="宋体" w:cs="宋体"/>
                <w:color w:val="333333"/>
                <w:sz w:val="21"/>
                <w:szCs w:val="21"/>
                <w:highlight w:val="white"/>
              </w:rPr>
              <w:t>2、院方可根据实际工作情况调整考评细则；</w:t>
            </w:r>
            <w:r>
              <w:rPr>
                <w:rFonts w:ascii="宋体" w:hAnsi="宋体" w:eastAsia="宋体" w:cs="宋体"/>
                <w:color w:val="333333"/>
                <w:sz w:val="21"/>
                <w:szCs w:val="21"/>
                <w:highlight w:val="white"/>
              </w:rPr>
              <w:br w:type="textWrapping"/>
            </w:r>
            <w:r>
              <w:rPr>
                <w:rFonts w:ascii="宋体" w:hAnsi="宋体" w:eastAsia="宋体" w:cs="宋体"/>
                <w:color w:val="333333"/>
                <w:sz w:val="21"/>
                <w:szCs w:val="21"/>
                <w:highlight w:val="white"/>
              </w:rPr>
              <w:t>3、考评分满分为100分；月考评90分及以上支付当月应付费用的100%；90分以下(不含90分)每减少1分扣发当月应付费用1000元；如此类推：月考评80分以下(不含80分)为考评不及格。</w:t>
            </w:r>
            <w:r>
              <w:rPr>
                <w:rFonts w:ascii="宋体" w:hAnsi="宋体" w:eastAsia="宋体" w:cs="宋体"/>
                <w:color w:val="333333"/>
                <w:sz w:val="21"/>
                <w:szCs w:val="21"/>
                <w:highlight w:val="white"/>
              </w:rPr>
              <w:br w:type="textWrapping"/>
            </w:r>
            <w:r>
              <w:rPr>
                <w:rFonts w:ascii="宋体" w:hAnsi="宋体" w:eastAsia="宋体" w:cs="宋体"/>
                <w:color w:val="333333"/>
                <w:sz w:val="21"/>
                <w:szCs w:val="21"/>
                <w:highlight w:val="white"/>
              </w:rPr>
              <w:t>4、服务期限内3次低于80分，院方有权终止合同。</w:t>
            </w:r>
          </w:p>
        </w:tc>
      </w:tr>
    </w:tbl>
    <w:p w14:paraId="7F4C79D9">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315A608A">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z w:val="21"/>
          <w:szCs w:val="21"/>
        </w:rPr>
      </w:pPr>
    </w:p>
    <w:p w14:paraId="5A836F0A">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64675A16">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292D2FFE">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2E33AC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39EA992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4C776DA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法定代表人身份证明书（格式）</w:t>
      </w:r>
    </w:p>
    <w:p w14:paraId="15F0E66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017802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rPr>
        <w:t>（法定代表人姓名）在（供应商名称）任（职务名称）职务，是（供应商名称）的法定代表人。</w:t>
      </w:r>
    </w:p>
    <w:p w14:paraId="2323C35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30BA2B1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10AA0FF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99EFF5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EF6EF5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5C37AB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A8C550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4FA17FE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5C9B6FA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207AB29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7D5E3AB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0B2A93D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3729163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3E2BF6A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（供应商全称）</w:t>
      </w:r>
    </w:p>
    <w:p w14:paraId="2489906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2E99708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35393EA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7986496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500A317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47CFD33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51166C9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6053DE1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6C886646">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36ACFB8">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5C821740">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130AC020">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6A667011">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6E359546">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42586CF2">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法定代表人授权委托书（格式）</w:t>
      </w:r>
    </w:p>
    <w:p w14:paraId="1FA23653">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b/>
          <w:bCs/>
          <w:snapToGrid/>
          <w:color w:val="000000"/>
          <w:sz w:val="28"/>
          <w:szCs w:val="28"/>
          <w:highlight w:val="none"/>
        </w:rPr>
      </w:pPr>
    </w:p>
    <w:p w14:paraId="4EEDAB2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8EEB2A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5B112FA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0CD0523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E52EF7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_____________________（供应商名称）是中华人民共和国合法企业，法定地址______________________________。</w:t>
      </w:r>
    </w:p>
    <w:p w14:paraId="3757860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_______（供应商法定代表人姓名）特授权（被授权人姓名及身份证代码）代表我单位全权办理对上述项目的投标、签约等具体工作，并签署全部有关的文件、协议及合同。</w:t>
      </w:r>
    </w:p>
    <w:p w14:paraId="328D549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18BE0E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44D9749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E4F500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8F5FC0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0E6D923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27F6C5E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B2F1C2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供应商公章：</w:t>
      </w:r>
    </w:p>
    <w:p w14:paraId="60022C7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5CFD2055">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pPr>
      <w:r>
        <w:rPr>
          <w:rFonts w:ascii="宋体" w:hAnsi="宋体" w:eastAsia="宋体" w:cs="宋体"/>
          <w:color w:val="000000"/>
          <w:sz w:val="24"/>
        </w:rPr>
        <w:tab/>
      </w:r>
    </w:p>
    <w:p w14:paraId="2A1B8838">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52FA9C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quot;Times New Roman&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5391C"/>
    <w:rsid w:val="13C6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basedOn w:val="30"/>
    <w:semiHidden/>
    <w:unhideWhenUsed/>
    <w:qFormat/>
    <w:uiPriority w:val="99"/>
    <w:rPr>
      <w:vertAlign w:val="superscript"/>
    </w:rPr>
  </w:style>
  <w:style w:type="character" w:styleId="32">
    <w:name w:val="Hyperlink"/>
    <w:unhideWhenUsed/>
    <w:qFormat/>
    <w:uiPriority w:val="99"/>
    <w:rPr>
      <w:color w:val="0026E5"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qFormat/>
    <w:uiPriority w:val="9"/>
    <w:rPr>
      <w:rFonts w:ascii="Arial" w:hAnsi="Arial" w:eastAsia="Arial" w:cs="Arial"/>
      <w:sz w:val="40"/>
      <w:szCs w:val="40"/>
    </w:rPr>
  </w:style>
  <w:style w:type="character" w:customStyle="1" w:styleId="35">
    <w:name w:val="Heading 2 Char"/>
    <w:basedOn w:val="30"/>
    <w:link w:val="3"/>
    <w:qFormat/>
    <w:uiPriority w:val="9"/>
    <w:rPr>
      <w:rFonts w:ascii="Arial" w:hAnsi="Arial" w:eastAsia="Arial" w:cs="Arial"/>
      <w:sz w:val="34"/>
    </w:rPr>
  </w:style>
  <w:style w:type="character" w:customStyle="1" w:styleId="36">
    <w:name w:val="Heading 3 Char"/>
    <w:basedOn w:val="30"/>
    <w:link w:val="4"/>
    <w:qFormat/>
    <w:uiPriority w:val="9"/>
    <w:rPr>
      <w:rFonts w:ascii="Arial" w:hAnsi="Arial" w:eastAsia="Arial" w:cs="Arial"/>
      <w:sz w:val="30"/>
      <w:szCs w:val="30"/>
    </w:rPr>
  </w:style>
  <w:style w:type="character" w:customStyle="1" w:styleId="37">
    <w:name w:val="Heading 4 Char"/>
    <w:basedOn w:val="30"/>
    <w:link w:val="5"/>
    <w:qFormat/>
    <w:uiPriority w:val="9"/>
    <w:rPr>
      <w:rFonts w:ascii="Arial" w:hAnsi="Arial" w:eastAsia="Arial" w:cs="Arial"/>
      <w:b/>
      <w:bCs/>
      <w:sz w:val="26"/>
      <w:szCs w:val="26"/>
    </w:rPr>
  </w:style>
  <w:style w:type="character" w:customStyle="1" w:styleId="38">
    <w:name w:val="Heading 5 Char"/>
    <w:basedOn w:val="30"/>
    <w:link w:val="6"/>
    <w:qFormat/>
    <w:uiPriority w:val="9"/>
    <w:rPr>
      <w:rFonts w:ascii="Arial" w:hAnsi="Arial" w:eastAsia="Arial" w:cs="Arial"/>
      <w:b/>
      <w:bCs/>
      <w:sz w:val="24"/>
      <w:szCs w:val="24"/>
    </w:rPr>
  </w:style>
  <w:style w:type="character" w:customStyle="1" w:styleId="39">
    <w:name w:val="Heading 6 Char"/>
    <w:basedOn w:val="30"/>
    <w:link w:val="7"/>
    <w:qFormat/>
    <w:uiPriority w:val="9"/>
    <w:rPr>
      <w:rFonts w:ascii="Arial" w:hAnsi="Arial" w:eastAsia="Arial" w:cs="Arial"/>
      <w:b/>
      <w:bCs/>
      <w:sz w:val="22"/>
      <w:szCs w:val="22"/>
    </w:rPr>
  </w:style>
  <w:style w:type="character" w:customStyle="1" w:styleId="40">
    <w:name w:val="Heading 7 Char"/>
    <w:basedOn w:val="30"/>
    <w:link w:val="8"/>
    <w:qFormat/>
    <w:uiPriority w:val="9"/>
    <w:rPr>
      <w:rFonts w:ascii="Arial" w:hAnsi="Arial" w:eastAsia="Arial" w:cs="Arial"/>
      <w:b/>
      <w:bCs/>
      <w:i/>
      <w:iCs/>
      <w:sz w:val="22"/>
      <w:szCs w:val="22"/>
    </w:rPr>
  </w:style>
  <w:style w:type="character" w:customStyle="1" w:styleId="41">
    <w:name w:val="Heading 8 Char"/>
    <w:basedOn w:val="30"/>
    <w:link w:val="9"/>
    <w:qFormat/>
    <w:uiPriority w:val="9"/>
    <w:rPr>
      <w:rFonts w:ascii="Arial" w:hAnsi="Arial" w:eastAsia="Arial" w:cs="Arial"/>
      <w:i/>
      <w:iCs/>
      <w:sz w:val="22"/>
      <w:szCs w:val="22"/>
    </w:rPr>
  </w:style>
  <w:style w:type="character" w:customStyle="1" w:styleId="42">
    <w:name w:val="Heading 9 Char"/>
    <w:basedOn w:val="30"/>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link w:val="18"/>
    <w:qFormat/>
    <w:uiPriority w:val="99"/>
  </w:style>
  <w:style w:type="character" w:customStyle="1" w:styleId="52">
    <w:name w:val="Footer Char"/>
    <w:basedOn w:val="30"/>
    <w:link w:val="17"/>
    <w:qFormat/>
    <w:uiPriority w:val="99"/>
  </w:style>
  <w:style w:type="character" w:customStyle="1" w:styleId="53">
    <w:name w:val="Caption Char"/>
    <w:link w:val="17"/>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2">
    <w:name w:val="Grid Table 1 Light - Accent 2"/>
    <w:basedOn w:val="28"/>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3">
    <w:name w:val="Grid Table 1 Light - Accent 3"/>
    <w:basedOn w:val="28"/>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4">
    <w:name w:val="Grid Table 1 Light - Accent 4"/>
    <w:basedOn w:val="28"/>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5">
    <w:name w:val="Grid Table 1 Light - Accent 5"/>
    <w:basedOn w:val="28"/>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6">
    <w:name w:val="Grid Table 1 Light - Accent 6"/>
    <w:basedOn w:val="28"/>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7">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69">
    <w:name w:val="Grid Table 2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0">
    <w:name w:val="Grid Table 2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1">
    <w:name w:val="Grid Table 2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2">
    <w:name w:val="Grid Table 2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3">
    <w:name w:val="Grid Table 2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6">
    <w:name w:val="Grid Table 3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7">
    <w:name w:val="Grid Table 3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8">
    <w:name w:val="Grid Table 3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9">
    <w:name w:val="Grid Table 3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0">
    <w:name w:val="Grid Table 3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3">
    <w:name w:val="Grid Table 4 - Accent 2"/>
    <w:basedOn w:val="28"/>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4">
    <w:name w:val="Grid Table 4 - Accent 3"/>
    <w:basedOn w:val="28"/>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5">
    <w:name w:val="Grid Table 4 - Accent 4"/>
    <w:basedOn w:val="28"/>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6">
    <w:name w:val="Grid Table 4 - Accent 5"/>
    <w:basedOn w:val="28"/>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7">
    <w:name w:val="Grid Table 4 - Accent 6"/>
    <w:basedOn w:val="28"/>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0">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1">
    <w:name w:val="Grid Table 6 Colorful - Accent 6"/>
    <w:basedOn w:val="28"/>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2">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8">
    <w:name w:val="Grid Table 7 Colorful - Accent 6"/>
    <w:basedOn w:val="28"/>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09">
    <w:name w:val="List Table 1 Light"/>
    <w:basedOn w:val="2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1">
    <w:name w:val="List Table 1 Light - Accent 2"/>
    <w:basedOn w:val="28"/>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2">
    <w:name w:val="List Table 1 Light - Accent 3"/>
    <w:basedOn w:val="28"/>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3">
    <w:name w:val="List Table 1 Light - Accent 4"/>
    <w:basedOn w:val="28"/>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4">
    <w:name w:val="List Table 1 Light - Accent 5"/>
    <w:basedOn w:val="28"/>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5">
    <w:name w:val="List Table 1 Light - Accent 6"/>
    <w:basedOn w:val="28"/>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6">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18">
    <w:name w:val="List Table 2 - Accent 2"/>
    <w:basedOn w:val="28"/>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19">
    <w:name w:val="List Table 2 - Accent 3"/>
    <w:basedOn w:val="28"/>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0">
    <w:name w:val="List Table 2 - Accent 4"/>
    <w:basedOn w:val="28"/>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1">
    <w:name w:val="List Table 2 - Accent 5"/>
    <w:basedOn w:val="28"/>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2">
    <w:name w:val="List Table 2 - Accent 6"/>
    <w:basedOn w:val="28"/>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3">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5">
    <w:name w:val="List Table 3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6">
    <w:name w:val="List Table 3 - Accent 3"/>
    <w:basedOn w:val="28"/>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7">
    <w:name w:val="List Table 3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28">
    <w:name w:val="List Table 3 - Accent 5"/>
    <w:basedOn w:val="28"/>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29">
    <w:name w:val="List Table 3 - Accent 6"/>
    <w:basedOn w:val="28"/>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0">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2">
    <w:name w:val="List Table 4 - Accent 2"/>
    <w:basedOn w:val="28"/>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3">
    <w:name w:val="List Table 4 - Accent 3"/>
    <w:basedOn w:val="28"/>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4">
    <w:name w:val="List Table 4 - Accent 4"/>
    <w:basedOn w:val="28"/>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5">
    <w:name w:val="List Table 4 - Accent 5"/>
    <w:basedOn w:val="28"/>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6">
    <w:name w:val="List Table 4 - Accent 6"/>
    <w:basedOn w:val="28"/>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7">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39">
    <w:name w:val="List Table 5 Dark - Accent 2"/>
    <w:basedOn w:val="28"/>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0">
    <w:name w:val="List Table 5 Dark - Accent 3"/>
    <w:basedOn w:val="28"/>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1">
    <w:name w:val="List Table 5 Dark - Accent 4"/>
    <w:basedOn w:val="28"/>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2">
    <w:name w:val="List Table 5 Dark - Accent 5"/>
    <w:basedOn w:val="28"/>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3">
    <w:name w:val="List Table 5 Dark - Accent 6"/>
    <w:basedOn w:val="28"/>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4">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6">
    <w:name w:val="List Table 6 Colorful - Accent 2"/>
    <w:basedOn w:val="28"/>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3">
    <w:name w:val="List Table 7 Colorful - Accent 2"/>
    <w:basedOn w:val="28"/>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0">
    <w:name w:val="Lined - Accent 2"/>
    <w:basedOn w:val="28"/>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1">
    <w:name w:val="Lined - Accent 3"/>
    <w:basedOn w:val="28"/>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2">
    <w:name w:val="Lined - Accent 4"/>
    <w:basedOn w:val="28"/>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3">
    <w:name w:val="Lined - Accent 5"/>
    <w:basedOn w:val="28"/>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4">
    <w:name w:val="Lined - Accent 6"/>
    <w:basedOn w:val="28"/>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5">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7">
    <w:name w:val="Bordered &amp; Lined - Accent 2"/>
    <w:basedOn w:val="28"/>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8">
    <w:name w:val="Bordered &amp; Lined - Accent 3"/>
    <w:basedOn w:val="28"/>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9">
    <w:name w:val="Bordered &amp; Lined - Accent 4"/>
    <w:basedOn w:val="28"/>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0">
    <w:name w:val="Bordered &amp; Lined - Accent 5"/>
    <w:basedOn w:val="28"/>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1">
    <w:name w:val="Bordered &amp; Lined - Accent 6"/>
    <w:basedOn w:val="28"/>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2">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4">
    <w:name w:val="Bordered - Accent 2"/>
    <w:basedOn w:val="28"/>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5">
    <w:name w:val="Bordered - Accent 3"/>
    <w:basedOn w:val="28"/>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6">
    <w:name w:val="Bordered - Accent 4"/>
    <w:basedOn w:val="28"/>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7">
    <w:name w:val="Bordered - Accent 5"/>
    <w:basedOn w:val="28"/>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78">
    <w:name w:val="Bordered - Accent 6"/>
    <w:basedOn w:val="28"/>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3772</Words>
  <Characters>4172</Characters>
  <TotalTime>5</TotalTime>
  <ScaleCrop>false</ScaleCrop>
  <LinksUpToDate>false</LinksUpToDate>
  <CharactersWithSpaces>4556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2025-11-19T00:23:05Z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606BCA94D3044818B6F9FA65389932F5_11</vt:lpwstr>
  </property>
  <property fmtid="{D5CDD505-2E9C-101B-9397-08002B2CF9AE}" pid="4" name="KSOTemplateDocerSaveRecord">
    <vt:lpwstr>eyJoZGlkIjoiZWY4YTdjODU0OTdjMzNhMjAwOTY1ZGY2MTViMWM4NGMiLCJ1c2VySWQiOiI2OTQ4MTc1NDIifQ==</vt:lpwstr>
  </property>
</Properties>
</file>