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19A3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福建中医药大学</w:t>
      </w:r>
    </w:p>
    <w:p w14:paraId="43DFF5A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附属人民医院</w:t>
      </w:r>
    </w:p>
    <w:p w14:paraId="67E79FF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4BB55A1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84"/>
        </w:rPr>
        <w:t>公开招标文件</w:t>
      </w:r>
    </w:p>
    <w:p w14:paraId="01A7ABAC">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744306BC">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327BCC11">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368797E9">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28"/>
        </w:rPr>
        <w:t>院内招标：闽人院购后[202</w:t>
      </w:r>
      <w:r>
        <w:rPr>
          <w:rFonts w:hint="eastAsia" w:ascii="宋体" w:hAnsi="宋体" w:eastAsia="宋体" w:cs="宋体"/>
          <w:b/>
          <w:color w:val="000000"/>
          <w:sz w:val="28"/>
          <w:lang w:val="en-US" w:eastAsia="zh-CN"/>
        </w:rPr>
        <w:t>5</w:t>
      </w:r>
      <w:r>
        <w:rPr>
          <w:rFonts w:ascii="宋体" w:hAnsi="宋体" w:eastAsia="宋体" w:cs="宋体"/>
          <w:b/>
          <w:color w:val="000000"/>
          <w:sz w:val="28"/>
        </w:rPr>
        <w:t>]</w:t>
      </w:r>
      <w:r>
        <w:rPr>
          <w:rFonts w:hint="eastAsia" w:ascii="宋体" w:hAnsi="宋体" w:eastAsia="宋体" w:cs="宋体"/>
          <w:b/>
          <w:color w:val="000000"/>
          <w:sz w:val="28"/>
          <w:lang w:val="en-US" w:eastAsia="zh-CN"/>
        </w:rPr>
        <w:t>20</w:t>
      </w:r>
      <w:r>
        <w:rPr>
          <w:rFonts w:ascii="宋体" w:hAnsi="宋体" w:eastAsia="宋体" w:cs="宋体"/>
          <w:b/>
          <w:color w:val="000000"/>
          <w:sz w:val="28"/>
        </w:rPr>
        <w:t>号</w:t>
      </w:r>
    </w:p>
    <w:p w14:paraId="7FFB7AF9">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28"/>
        </w:rPr>
        <w:t xml:space="preserve"> 项目名称：</w:t>
      </w:r>
      <w:r>
        <w:rPr>
          <w:rFonts w:hint="eastAsia" w:ascii="宋体" w:hAnsi="宋体"/>
          <w:b/>
          <w:sz w:val="28"/>
          <w:szCs w:val="28"/>
          <w:lang w:eastAsia="zh-CN"/>
        </w:rPr>
        <w:t>客车租赁</w:t>
      </w:r>
      <w:r>
        <w:rPr>
          <w:rFonts w:hint="eastAsia" w:ascii="宋体" w:hAnsi="宋体"/>
          <w:b/>
          <w:sz w:val="28"/>
          <w:szCs w:val="28"/>
          <w:lang w:val="en-US" w:eastAsia="zh-CN"/>
        </w:rPr>
        <w:t>服务</w:t>
      </w:r>
    </w:p>
    <w:p w14:paraId="41975C3C">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05918ED9">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0DA5842">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37F46AD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采购人：福建中医药大学附属人民医院</w:t>
      </w:r>
    </w:p>
    <w:p w14:paraId="7F34E46F">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 xml:space="preserve">   </w:t>
      </w:r>
      <w:r>
        <w:rPr>
          <w:rFonts w:hint="eastAsia" w:ascii="宋体" w:hAnsi="宋体" w:eastAsia="宋体" w:cs="宋体"/>
          <w:b/>
          <w:color w:val="000000"/>
          <w:sz w:val="32"/>
          <w:lang w:val="en-US" w:eastAsia="zh-CN"/>
        </w:rPr>
        <w:t xml:space="preserve"> 2025</w:t>
      </w:r>
      <w:r>
        <w:rPr>
          <w:rFonts w:ascii="宋体" w:hAnsi="宋体" w:eastAsia="宋体" w:cs="宋体"/>
          <w:b/>
          <w:color w:val="000000"/>
          <w:sz w:val="32"/>
        </w:rPr>
        <w:t>年</w:t>
      </w:r>
      <w:r>
        <w:rPr>
          <w:rFonts w:hint="eastAsia" w:ascii="宋体" w:hAnsi="宋体" w:eastAsia="宋体" w:cs="宋体"/>
          <w:b/>
          <w:color w:val="000000"/>
          <w:sz w:val="32"/>
          <w:lang w:val="en-US" w:eastAsia="zh-CN"/>
        </w:rPr>
        <w:t>12</w:t>
      </w:r>
      <w:r>
        <w:rPr>
          <w:rFonts w:ascii="宋体" w:hAnsi="宋体" w:eastAsia="宋体" w:cs="宋体"/>
          <w:b/>
          <w:color w:val="000000"/>
          <w:sz w:val="32"/>
        </w:rPr>
        <w:t>月</w:t>
      </w:r>
    </w:p>
    <w:p w14:paraId="7AF18294">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br w:type="page" w:clear="all"/>
      </w:r>
    </w:p>
    <w:p w14:paraId="2CEC9472">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36"/>
        </w:rPr>
        <w:t>一、公开招标邀请</w:t>
      </w:r>
    </w:p>
    <w:p w14:paraId="1D61AB95">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福建中医药大学附属人民医院对</w:t>
      </w:r>
      <w:r>
        <w:rPr>
          <w:rFonts w:hint="eastAsia" w:ascii="宋体" w:hAnsi="宋体" w:eastAsia="宋体" w:cs="宋体"/>
          <w:color w:val="000000"/>
          <w:sz w:val="24"/>
          <w:u w:val="single"/>
          <w:lang w:eastAsia="zh-CN"/>
        </w:rPr>
        <w:t>客车租赁</w:t>
      </w:r>
      <w:r>
        <w:rPr>
          <w:rFonts w:hint="eastAsia" w:ascii="宋体" w:hAnsi="宋体" w:eastAsia="宋体" w:cs="宋体"/>
          <w:color w:val="000000"/>
          <w:sz w:val="24"/>
          <w:u w:val="single"/>
          <w:lang w:val="en-US" w:eastAsia="zh-CN"/>
        </w:rPr>
        <w:t>服务</w:t>
      </w:r>
      <w:r>
        <w:rPr>
          <w:rFonts w:ascii="宋体" w:hAnsi="宋体" w:eastAsia="宋体" w:cs="宋体"/>
          <w:color w:val="000000"/>
          <w:sz w:val="24"/>
          <w:u w:val="single"/>
        </w:rPr>
        <w:t>项目</w:t>
      </w:r>
      <w:r>
        <w:rPr>
          <w:rFonts w:ascii="宋体" w:hAnsi="宋体" w:eastAsia="宋体" w:cs="宋体"/>
          <w:color w:val="000000"/>
          <w:sz w:val="24"/>
        </w:rPr>
        <w:t>进行院内公开招标采购，现欢迎有能力提供产品的供应商前来提交密封的报价。</w:t>
      </w:r>
    </w:p>
    <w:p w14:paraId="3A9B930D">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1.公示时间：</w:t>
      </w:r>
      <w:r>
        <w:rPr>
          <w:rFonts w:hint="eastAsia" w:ascii="宋体" w:hAnsi="宋体" w:eastAsia="宋体" w:cs="宋体"/>
          <w:b w:val="0"/>
          <w:bCs w:val="0"/>
          <w:sz w:val="24"/>
          <w:lang w:val="en-US" w:eastAsia="zh-CN"/>
        </w:rPr>
        <w:t>202</w:t>
      </w:r>
      <w:r>
        <w:rPr>
          <w:rFonts w:hint="eastAsia" w:ascii="宋体" w:hAnsi="宋体" w:cs="宋体"/>
          <w:b w:val="0"/>
          <w:bCs w:val="0"/>
          <w:sz w:val="24"/>
          <w:lang w:val="en-US" w:eastAsia="zh-CN"/>
        </w:rPr>
        <w:t>5</w:t>
      </w:r>
      <w:r>
        <w:rPr>
          <w:rFonts w:hint="eastAsia" w:ascii="宋体" w:hAnsi="宋体" w:eastAsia="宋体" w:cs="宋体"/>
          <w:b w:val="0"/>
          <w:bCs w:val="0"/>
          <w:sz w:val="24"/>
        </w:rPr>
        <w:t>年</w:t>
      </w:r>
      <w:r>
        <w:rPr>
          <w:rFonts w:hint="eastAsia" w:ascii="宋体" w:hAnsi="宋体" w:cs="宋体"/>
          <w:b w:val="0"/>
          <w:bCs w:val="0"/>
          <w:sz w:val="24"/>
          <w:lang w:val="en-US" w:eastAsia="zh-CN"/>
        </w:rPr>
        <w:t>12</w:t>
      </w:r>
      <w:r>
        <w:rPr>
          <w:rFonts w:hint="eastAsia" w:ascii="宋体" w:hAnsi="宋体" w:eastAsia="宋体" w:cs="宋体"/>
          <w:b w:val="0"/>
          <w:bCs w:val="0"/>
          <w:sz w:val="24"/>
        </w:rPr>
        <w:t>月</w:t>
      </w:r>
      <w:r>
        <w:rPr>
          <w:rFonts w:hint="eastAsia" w:ascii="宋体" w:hAnsi="宋体" w:cs="宋体"/>
          <w:b w:val="0"/>
          <w:bCs w:val="0"/>
          <w:sz w:val="24"/>
          <w:lang w:val="en-US" w:eastAsia="zh-CN"/>
        </w:rPr>
        <w:t>30</w:t>
      </w:r>
      <w:r>
        <w:rPr>
          <w:rFonts w:hint="eastAsia" w:ascii="宋体" w:hAnsi="宋体" w:eastAsia="宋体" w:cs="宋体"/>
          <w:b w:val="0"/>
          <w:bCs w:val="0"/>
          <w:sz w:val="24"/>
        </w:rPr>
        <w:t>日至</w:t>
      </w:r>
      <w:r>
        <w:rPr>
          <w:rFonts w:hint="eastAsia" w:ascii="宋体" w:hAnsi="宋体" w:eastAsia="宋体" w:cs="宋体"/>
          <w:b w:val="0"/>
          <w:bCs w:val="0"/>
          <w:sz w:val="24"/>
          <w:lang w:val="en-US" w:eastAsia="zh-CN"/>
        </w:rPr>
        <w:t>202</w:t>
      </w:r>
      <w:r>
        <w:rPr>
          <w:rFonts w:hint="eastAsia" w:ascii="宋体" w:hAnsi="宋体" w:cs="宋体"/>
          <w:b w:val="0"/>
          <w:bCs w:val="0"/>
          <w:sz w:val="24"/>
          <w:lang w:val="en-US" w:eastAsia="zh-CN"/>
        </w:rPr>
        <w:t>6</w:t>
      </w:r>
      <w:r>
        <w:rPr>
          <w:rFonts w:hint="eastAsia" w:ascii="宋体" w:hAnsi="宋体" w:eastAsia="宋体" w:cs="宋体"/>
          <w:b w:val="0"/>
          <w:bCs w:val="0"/>
          <w:sz w:val="24"/>
          <w:lang w:val="en-US" w:eastAsia="zh-CN"/>
        </w:rPr>
        <w:t>年01</w:t>
      </w:r>
      <w:r>
        <w:rPr>
          <w:rFonts w:hint="eastAsia" w:ascii="宋体" w:hAnsi="宋体" w:eastAsia="宋体" w:cs="宋体"/>
          <w:b w:val="0"/>
          <w:bCs w:val="0"/>
          <w:sz w:val="24"/>
        </w:rPr>
        <w:t>月</w:t>
      </w:r>
      <w:r>
        <w:rPr>
          <w:rFonts w:hint="eastAsia" w:ascii="宋体" w:hAnsi="宋体" w:cs="宋体"/>
          <w:b w:val="0"/>
          <w:bCs w:val="0"/>
          <w:sz w:val="24"/>
          <w:lang w:val="en-US" w:eastAsia="zh-CN"/>
        </w:rPr>
        <w:t>6</w:t>
      </w:r>
      <w:r>
        <w:rPr>
          <w:rFonts w:hint="eastAsia" w:ascii="宋体" w:hAnsi="宋体" w:eastAsia="宋体" w:cs="宋体"/>
          <w:b w:val="0"/>
          <w:bCs w:val="0"/>
          <w:sz w:val="24"/>
        </w:rPr>
        <w:t>日。</w:t>
      </w:r>
    </w:p>
    <w:p w14:paraId="2ABD8D27">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2.递交投标文件截止时间：</w:t>
      </w:r>
      <w:r>
        <w:rPr>
          <w:rFonts w:hint="eastAsia" w:ascii="宋体" w:hAnsi="宋体" w:cs="宋体"/>
          <w:b w:val="0"/>
          <w:bCs w:val="0"/>
          <w:sz w:val="24"/>
          <w:szCs w:val="24"/>
          <w:highlight w:val="none"/>
          <w:lang w:val="en-US" w:eastAsia="zh-CN"/>
        </w:rPr>
        <w:t>2026</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01</w:t>
      </w:r>
      <w:r>
        <w:rPr>
          <w:rFonts w:hint="eastAsia" w:ascii="宋体" w:hAnsi="宋体" w:eastAsia="宋体" w:cs="宋体"/>
          <w:b w:val="0"/>
          <w:bCs w:val="0"/>
          <w:sz w:val="24"/>
          <w:szCs w:val="24"/>
          <w:highlight w:val="none"/>
        </w:rPr>
        <w:t>月</w:t>
      </w:r>
      <w:r>
        <w:rPr>
          <w:rFonts w:hint="eastAsia" w:ascii="宋体" w:hAnsi="宋体" w:cs="宋体"/>
          <w:b w:val="0"/>
          <w:bCs w:val="0"/>
          <w:sz w:val="24"/>
          <w:szCs w:val="24"/>
          <w:highlight w:val="none"/>
          <w:lang w:val="en-US" w:eastAsia="zh-CN"/>
        </w:rPr>
        <w:t>09</w:t>
      </w:r>
      <w:r>
        <w:rPr>
          <w:rFonts w:hint="eastAsia" w:ascii="宋体" w:hAnsi="宋体" w:eastAsia="宋体" w:cs="宋体"/>
          <w:b w:val="0"/>
          <w:bCs w:val="0"/>
          <w:sz w:val="24"/>
          <w:szCs w:val="24"/>
          <w:highlight w:val="none"/>
        </w:rPr>
        <w:t>日</w:t>
      </w:r>
      <w:r>
        <w:rPr>
          <w:rFonts w:hint="eastAsia" w:ascii="宋体" w:hAnsi="宋体" w:eastAsia="宋体" w:cs="宋体"/>
          <w:b w:val="0"/>
          <w:bCs w:val="0"/>
          <w:sz w:val="24"/>
          <w:szCs w:val="24"/>
          <w:highlight w:val="none"/>
          <w:lang w:eastAsia="zh-CN"/>
        </w:rPr>
        <w:t>，上午：</w:t>
      </w:r>
      <w:r>
        <w:rPr>
          <w:rFonts w:hint="eastAsia" w:ascii="宋体" w:hAnsi="宋体" w:cs="宋体"/>
          <w:b w:val="0"/>
          <w:bCs w:val="0"/>
          <w:sz w:val="24"/>
          <w:szCs w:val="24"/>
          <w:highlight w:val="none"/>
          <w:lang w:val="en-US" w:eastAsia="zh-CN"/>
        </w:rPr>
        <w:t>09</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0</w:t>
      </w:r>
      <w:r>
        <w:rPr>
          <w:rFonts w:hint="eastAsia" w:ascii="宋体" w:hAnsi="宋体" w:eastAsia="宋体" w:cs="宋体"/>
          <w:sz w:val="24"/>
          <w:szCs w:val="24"/>
          <w:highlight w:val="none"/>
        </w:rPr>
        <w:t>（北京时间）。</w:t>
      </w:r>
      <w:r>
        <w:rPr>
          <w:rFonts w:ascii="宋体" w:hAnsi="宋体" w:eastAsia="宋体" w:cs="宋体"/>
          <w:color w:val="000000"/>
          <w:sz w:val="24"/>
        </w:rPr>
        <w:t xml:space="preserve">超过递交截止时间递交的投标文件恕不接受。投标文件开标后概不退还，逾期送达（以签到为准）、未送达指定地点及未按公开招标文件要求密封的投标文件均不予接受。 </w:t>
      </w:r>
    </w:p>
    <w:p w14:paraId="0771999A">
      <w:pPr>
        <w:pBdr>
          <w:top w:val="none" w:color="000000" w:sz="0" w:space="0"/>
          <w:left w:val="none" w:color="000000" w:sz="0" w:space="0"/>
          <w:bottom w:val="none" w:color="000000" w:sz="0" w:space="0"/>
          <w:right w:val="none" w:color="000000" w:sz="0" w:space="0"/>
        </w:pBdr>
        <w:spacing w:before="0" w:after="0" w:line="360" w:lineRule="auto"/>
        <w:ind w:left="357" w:right="0" w:firstLine="0"/>
        <w:rPr>
          <w:b/>
          <w:bCs/>
        </w:rPr>
      </w:pPr>
      <w:r>
        <w:rPr>
          <w:rFonts w:ascii="宋体" w:hAnsi="宋体" w:eastAsia="宋体" w:cs="宋体"/>
          <w:color w:val="000000"/>
          <w:sz w:val="24"/>
        </w:rPr>
        <w:t xml:space="preserve"> 3.评标开始时间</w:t>
      </w:r>
      <w:r>
        <w:rPr>
          <w:rFonts w:hint="eastAsia" w:ascii="宋体" w:hAnsi="宋体" w:cs="宋体"/>
          <w:b w:val="0"/>
          <w:bCs w:val="0"/>
          <w:sz w:val="24"/>
          <w:szCs w:val="24"/>
          <w:highlight w:val="none"/>
          <w:lang w:val="en-US" w:eastAsia="zh-CN"/>
        </w:rPr>
        <w:t>2026</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01</w:t>
      </w:r>
      <w:r>
        <w:rPr>
          <w:rFonts w:hint="eastAsia" w:ascii="宋体" w:hAnsi="宋体" w:eastAsia="宋体" w:cs="宋体"/>
          <w:b w:val="0"/>
          <w:bCs w:val="0"/>
          <w:sz w:val="24"/>
          <w:szCs w:val="24"/>
          <w:highlight w:val="none"/>
        </w:rPr>
        <w:t>月</w:t>
      </w:r>
      <w:r>
        <w:rPr>
          <w:rFonts w:hint="eastAsia" w:ascii="宋体" w:hAnsi="宋体" w:cs="宋体"/>
          <w:b w:val="0"/>
          <w:bCs w:val="0"/>
          <w:sz w:val="24"/>
          <w:szCs w:val="24"/>
          <w:highlight w:val="none"/>
          <w:lang w:val="en-US" w:eastAsia="zh-CN"/>
        </w:rPr>
        <w:t>09</w:t>
      </w:r>
      <w:r>
        <w:rPr>
          <w:rFonts w:hint="eastAsia" w:ascii="宋体" w:hAnsi="宋体" w:eastAsia="宋体" w:cs="宋体"/>
          <w:b w:val="0"/>
          <w:bCs w:val="0"/>
          <w:sz w:val="24"/>
          <w:szCs w:val="24"/>
          <w:highlight w:val="none"/>
        </w:rPr>
        <w:t>日</w:t>
      </w:r>
      <w:r>
        <w:rPr>
          <w:rFonts w:hint="eastAsia" w:ascii="宋体" w:hAnsi="宋体" w:eastAsia="宋体" w:cs="宋体"/>
          <w:b w:val="0"/>
          <w:bCs w:val="0"/>
          <w:sz w:val="24"/>
          <w:szCs w:val="24"/>
          <w:highlight w:val="none"/>
          <w:lang w:eastAsia="zh-CN"/>
        </w:rPr>
        <w:t>，上午：</w:t>
      </w:r>
      <w:r>
        <w:rPr>
          <w:rFonts w:hint="eastAsia" w:ascii="宋体" w:hAnsi="宋体" w:cs="宋体"/>
          <w:b w:val="0"/>
          <w:bCs w:val="0"/>
          <w:sz w:val="24"/>
          <w:szCs w:val="24"/>
          <w:highlight w:val="none"/>
          <w:lang w:val="en-US" w:eastAsia="zh-CN"/>
        </w:rPr>
        <w:t>09</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0</w:t>
      </w:r>
      <w:r>
        <w:rPr>
          <w:rFonts w:hint="eastAsia" w:ascii="宋体" w:hAnsi="宋体" w:eastAsia="宋体" w:cs="宋体"/>
          <w:sz w:val="24"/>
          <w:szCs w:val="24"/>
          <w:highlight w:val="none"/>
        </w:rPr>
        <w:t>（北京时间）。</w:t>
      </w:r>
      <w:bookmarkStart w:id="0" w:name="_GoBack"/>
      <w:bookmarkEnd w:id="0"/>
    </w:p>
    <w:p w14:paraId="673A19EB">
      <w:pPr>
        <w:pBdr>
          <w:top w:val="none" w:color="000000" w:sz="0" w:space="0"/>
          <w:left w:val="none" w:color="000000" w:sz="0" w:space="0"/>
          <w:bottom w:val="none" w:color="000000" w:sz="0" w:space="0"/>
          <w:right w:val="none" w:color="000000" w:sz="0" w:space="0"/>
        </w:pBdr>
        <w:spacing w:before="0" w:after="0" w:line="360" w:lineRule="auto"/>
        <w:ind w:left="357" w:right="0" w:firstLine="120"/>
      </w:pPr>
      <w:r>
        <w:rPr>
          <w:rFonts w:ascii="宋体" w:hAnsi="宋体" w:eastAsia="宋体" w:cs="宋体"/>
          <w:color w:val="000000"/>
          <w:sz w:val="24"/>
        </w:rPr>
        <w:t>4.评标地点：</w:t>
      </w:r>
      <w:r>
        <w:rPr>
          <w:rFonts w:ascii="宋体" w:hAnsi="宋体" w:eastAsia="宋体" w:cs="宋体"/>
          <w:b/>
          <w:color w:val="000000"/>
          <w:spacing w:val="-6"/>
          <w:sz w:val="24"/>
        </w:rPr>
        <w:t>福建中医药大学附属人民医院6号楼2层会议室</w:t>
      </w:r>
      <w:r>
        <w:rPr>
          <w:rFonts w:ascii="宋体" w:hAnsi="宋体" w:eastAsia="宋体" w:cs="宋体"/>
          <w:color w:val="000000"/>
          <w:sz w:val="24"/>
        </w:rPr>
        <w:t>。</w:t>
      </w:r>
    </w:p>
    <w:p w14:paraId="2C70D75E">
      <w:pPr>
        <w:pBdr>
          <w:top w:val="none" w:color="000000" w:sz="0" w:space="0"/>
          <w:left w:val="none" w:color="000000" w:sz="0" w:space="0"/>
          <w:bottom w:val="none" w:color="000000" w:sz="0" w:space="0"/>
          <w:right w:val="none" w:color="000000" w:sz="0" w:space="0"/>
        </w:pBdr>
        <w:spacing w:before="0" w:after="0" w:line="360" w:lineRule="auto"/>
        <w:ind w:left="0" w:right="0" w:firstLine="456"/>
      </w:pPr>
      <w:r>
        <w:rPr>
          <w:rFonts w:ascii="宋体" w:hAnsi="宋体" w:eastAsia="宋体" w:cs="宋体"/>
          <w:color w:val="000000"/>
          <w:spacing w:val="-6"/>
          <w:sz w:val="24"/>
        </w:rPr>
        <w:t>5.供应商对本次采购活动事项提出疑问的，请在递交投标文件截止时间3天前，将问题以书面的形式（有效签署的原件并加盖公章，拒绝传真、电邮、电话形式等其它形式）提交到福建中医药大学附属人民医院资产管理处办公室1，口头提交质疑澄清的问题不予接受。</w:t>
      </w:r>
    </w:p>
    <w:p w14:paraId="1C22CB1A">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6.有关本项目的信息（包括招标文件若有修改补充）</w:t>
      </w:r>
      <w:r>
        <w:rPr>
          <w:rFonts w:ascii="宋体" w:hAnsi="宋体" w:eastAsia="宋体" w:cs="宋体"/>
          <w:color w:val="000000"/>
          <w:spacing w:val="-2"/>
          <w:sz w:val="24"/>
        </w:rPr>
        <w:t>，在</w:t>
      </w:r>
      <w:r>
        <w:rPr>
          <w:rFonts w:ascii="宋体" w:hAnsi="宋体" w:eastAsia="宋体" w:cs="宋体"/>
          <w:color w:val="000000"/>
          <w:spacing w:val="-6"/>
          <w:sz w:val="24"/>
          <w:u w:val="single"/>
        </w:rPr>
        <w:t>福建中医药大学附属人民医院院内网、院外网</w:t>
      </w:r>
      <w:r>
        <w:rPr>
          <w:rFonts w:ascii="宋体" w:hAnsi="宋体" w:eastAsia="宋体" w:cs="宋体"/>
          <w:color w:val="000000"/>
          <w:sz w:val="24"/>
        </w:rPr>
        <w:t xml:space="preserve">通知，请供应商随时关注相关网站，以免错漏重要信息。 </w:t>
      </w:r>
    </w:p>
    <w:p w14:paraId="75A4E3BD">
      <w:pPr>
        <w:pBdr>
          <w:top w:val="none" w:color="000000" w:sz="0" w:space="0"/>
          <w:left w:val="none" w:color="000000" w:sz="0" w:space="0"/>
          <w:bottom w:val="none" w:color="000000" w:sz="0" w:space="0"/>
          <w:right w:val="none" w:color="000000" w:sz="0" w:space="0"/>
        </w:pBdr>
        <w:spacing w:before="0" w:after="0" w:line="360" w:lineRule="auto"/>
        <w:ind w:left="420" w:right="0" w:firstLine="0"/>
      </w:pPr>
      <w:r>
        <w:rPr>
          <w:rFonts w:ascii="宋体" w:hAnsi="宋体" w:eastAsia="宋体" w:cs="宋体"/>
          <w:b/>
          <w:color w:val="000000"/>
          <w:sz w:val="24"/>
        </w:rPr>
        <w:t>投标文件壹正三副</w:t>
      </w:r>
      <w:r>
        <w:rPr>
          <w:rFonts w:ascii="宋体" w:hAnsi="宋体" w:eastAsia="宋体" w:cs="宋体"/>
          <w:color w:val="000000"/>
          <w:sz w:val="24"/>
        </w:rPr>
        <w:t>。</w:t>
      </w:r>
    </w:p>
    <w:p w14:paraId="0F8F6551">
      <w:pPr>
        <w:pBdr>
          <w:top w:val="none" w:color="000000" w:sz="0" w:space="0"/>
          <w:left w:val="none" w:color="000000" w:sz="0" w:space="0"/>
          <w:bottom w:val="none" w:color="000000" w:sz="0" w:space="0"/>
          <w:right w:val="none" w:color="000000" w:sz="0" w:space="0"/>
        </w:pBdr>
        <w:spacing w:before="0" w:after="0" w:line="360" w:lineRule="auto"/>
        <w:ind w:left="0" w:right="0" w:firstLine="600"/>
      </w:pPr>
      <w:r>
        <w:rPr>
          <w:rFonts w:ascii="宋体" w:hAnsi="宋体" w:eastAsia="宋体" w:cs="宋体"/>
          <w:color w:val="000000"/>
          <w:sz w:val="24"/>
        </w:rPr>
        <w:t xml:space="preserve">联系人： 王先生  0591-83942123（办公室）。      </w:t>
      </w:r>
    </w:p>
    <w:p w14:paraId="7FB09EEE">
      <w:pPr>
        <w:pBdr>
          <w:top w:val="none" w:color="000000" w:sz="0" w:space="0"/>
          <w:left w:val="none" w:color="000000" w:sz="0" w:space="0"/>
          <w:bottom w:val="none" w:color="000000" w:sz="0" w:space="0"/>
          <w:right w:val="none" w:color="000000" w:sz="0" w:space="0"/>
        </w:pBdr>
        <w:spacing w:before="0" w:after="0" w:line="360" w:lineRule="auto"/>
        <w:ind w:left="0" w:right="0" w:firstLine="0"/>
      </w:pPr>
    </w:p>
    <w:p w14:paraId="78461206">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79B1F6E4">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0B3E08DF">
      <w:pPr>
        <w:pStyle w:val="2"/>
      </w:pPr>
    </w:p>
    <w:p w14:paraId="24BA0564">
      <w:pPr>
        <w:pStyle w:val="2"/>
      </w:pPr>
    </w:p>
    <w:p w14:paraId="55DE8363">
      <w:pPr>
        <w:pStyle w:val="2"/>
      </w:pPr>
    </w:p>
    <w:p w14:paraId="69329849">
      <w:pPr>
        <w:pStyle w:val="2"/>
      </w:pPr>
    </w:p>
    <w:p w14:paraId="7D881323">
      <w:pPr>
        <w:pStyle w:val="2"/>
      </w:pPr>
    </w:p>
    <w:p w14:paraId="4A21418F">
      <w:pPr>
        <w:pStyle w:val="2"/>
      </w:pPr>
    </w:p>
    <w:p w14:paraId="35BDFC09">
      <w:pPr>
        <w:pStyle w:val="2"/>
      </w:pPr>
    </w:p>
    <w:p w14:paraId="648A67D1">
      <w:pPr>
        <w:pStyle w:val="2"/>
      </w:pPr>
    </w:p>
    <w:p w14:paraId="08D9F339">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3C5F4C82">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sz w:val="21"/>
          <w:szCs w:val="21"/>
        </w:rPr>
      </w:pPr>
    </w:p>
    <w:p w14:paraId="2DADFD86">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ascii="宋体" w:hAnsi="宋体" w:eastAsia="宋体" w:cs="宋体"/>
          <w:b/>
          <w:bCs/>
          <w:snapToGrid/>
          <w:color w:val="000000"/>
          <w:sz w:val="36"/>
          <w:szCs w:val="36"/>
          <w:highlight w:val="none"/>
        </w:rPr>
      </w:pPr>
      <w:r>
        <w:rPr>
          <w:rFonts w:ascii="宋体" w:hAnsi="宋体" w:eastAsia="宋体" w:cs="宋体"/>
          <w:b/>
          <w:color w:val="000000"/>
          <w:sz w:val="36"/>
        </w:rPr>
        <w:t>二、供应商须知</w:t>
      </w:r>
    </w:p>
    <w:p w14:paraId="1F151B15">
      <w:pPr>
        <w:pBdr>
          <w:top w:val="none" w:color="000000" w:sz="0" w:space="0"/>
          <w:left w:val="none" w:color="000000" w:sz="0" w:space="0"/>
          <w:bottom w:val="none" w:color="000000" w:sz="0" w:space="0"/>
          <w:right w:val="none" w:color="000000" w:sz="0" w:space="0"/>
        </w:pBdr>
        <w:spacing w:before="0" w:after="0" w:line="360" w:lineRule="auto"/>
        <w:ind w:left="0" w:right="0" w:firstLine="0"/>
        <w:rPr>
          <w:rFonts w:ascii="宋体" w:hAnsi="宋体" w:eastAsia="宋体" w:cs="宋体"/>
          <w:b/>
          <w:color w:val="000000"/>
          <w:sz w:val="24"/>
        </w:rPr>
      </w:pPr>
    </w:p>
    <w:p w14:paraId="4E891061">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1.资格标准：</w:t>
      </w:r>
    </w:p>
    <w:p w14:paraId="6D379A9E">
      <w:pPr>
        <w:pBdr>
          <w:top w:val="none" w:color="000000" w:sz="0" w:space="0"/>
          <w:left w:val="none" w:color="000000" w:sz="0" w:space="0"/>
          <w:bottom w:val="none" w:color="000000" w:sz="0" w:space="0"/>
          <w:right w:val="none" w:color="000000" w:sz="0" w:space="0"/>
        </w:pBdr>
        <w:spacing w:before="0" w:after="0" w:line="360" w:lineRule="auto"/>
        <w:ind w:left="0" w:right="0" w:firstLine="420"/>
      </w:pPr>
      <w:r>
        <w:rPr>
          <w:rFonts w:ascii="宋体" w:hAnsi="宋体" w:eastAsia="宋体" w:cs="宋体"/>
          <w:color w:val="000000"/>
          <w:sz w:val="24"/>
        </w:rPr>
        <w:t>凡有能力提供本招标文件所述服务，具备相关法律法规、行政规章条例和本招标文件中规定的参加采购活动应当具备的条件的境内独立法人资格均可能成为合格的投标人。</w:t>
      </w:r>
    </w:p>
    <w:p w14:paraId="3C494686">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2.采购方式：院内公开招标</w:t>
      </w:r>
    </w:p>
    <w:p w14:paraId="3172D19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2.1采购方组织的院内公开招标按招标文件规定的时间和地点进行。投标人须在截止时间前递交投标文件。</w:t>
      </w:r>
    </w:p>
    <w:p w14:paraId="0111C425">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2.2成交原则：</w:t>
      </w:r>
    </w:p>
    <w:p w14:paraId="645092E1">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2.2.1本项目评审采用</w:t>
      </w:r>
      <w:r>
        <w:rPr>
          <w:rFonts w:ascii="宋体" w:hAnsi="宋体" w:eastAsia="宋体" w:cs="宋体"/>
          <w:b/>
          <w:color w:val="000000"/>
          <w:sz w:val="24"/>
        </w:rPr>
        <w:t>最低评标价法</w:t>
      </w:r>
      <w:r>
        <w:rPr>
          <w:rFonts w:ascii="宋体" w:hAnsi="宋体" w:eastAsia="宋体" w:cs="宋体"/>
          <w:color w:val="000000"/>
          <w:sz w:val="24"/>
        </w:rPr>
        <w:t>进行评审。</w:t>
      </w:r>
    </w:p>
    <w:p w14:paraId="7F0C7E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sz w:val="24"/>
        </w:rPr>
      </w:pPr>
      <w:r>
        <w:rPr>
          <w:rFonts w:ascii="宋体" w:hAnsi="宋体" w:eastAsia="宋体" w:cs="宋体"/>
          <w:color w:val="000000"/>
          <w:sz w:val="24"/>
        </w:rPr>
        <w:t>2.2.2定标：</w:t>
      </w:r>
    </w:p>
    <w:p w14:paraId="0700382B">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cs="宋体"/>
          <w:b/>
          <w:bCs/>
          <w:color w:val="auto"/>
          <w:sz w:val="24"/>
        </w:rPr>
      </w:pPr>
      <w:r>
        <w:rPr>
          <w:rFonts w:hint="eastAsia" w:ascii="宋体" w:hAnsi="宋体" w:cs="宋体"/>
          <w:b/>
          <w:bCs/>
          <w:color w:val="auto"/>
          <w:sz w:val="24"/>
          <w:szCs w:val="24"/>
          <w:lang w:val="en-US" w:eastAsia="zh-CN"/>
        </w:rPr>
        <w:t>(1)</w:t>
      </w:r>
      <w:r>
        <w:rPr>
          <w:rFonts w:hint="eastAsia" w:ascii="宋体" w:hAnsi="宋体" w:cs="宋体"/>
          <w:b/>
          <w:bCs/>
          <w:color w:val="auto"/>
          <w:sz w:val="24"/>
          <w:szCs w:val="24"/>
          <w:lang w:eastAsia="zh-CN"/>
        </w:rPr>
        <w:t>采购人</w:t>
      </w:r>
      <w:r>
        <w:rPr>
          <w:rFonts w:hint="eastAsia" w:ascii="宋体" w:hAnsi="宋体" w:cs="宋体"/>
          <w:b/>
          <w:bCs/>
          <w:color w:val="auto"/>
          <w:sz w:val="24"/>
          <w:szCs w:val="24"/>
        </w:rPr>
        <w:t>授权评审小组根据完全满足采购的技术、质量、商务和服务的需求</w:t>
      </w:r>
      <w:r>
        <w:rPr>
          <w:rFonts w:hint="eastAsia" w:ascii="宋体" w:hAnsi="宋体" w:cs="宋体"/>
          <w:b/>
          <w:bCs/>
          <w:color w:val="auto"/>
          <w:sz w:val="24"/>
          <w:szCs w:val="24"/>
          <w:lang w:eastAsia="zh-CN"/>
        </w:rPr>
        <w:t>，评审</w:t>
      </w:r>
      <w:r>
        <w:rPr>
          <w:rFonts w:hint="eastAsia" w:ascii="宋体" w:hAnsi="宋体" w:cs="宋体"/>
          <w:b/>
          <w:bCs/>
          <w:color w:val="auto"/>
          <w:sz w:val="24"/>
        </w:rPr>
        <w:t>采用低价优先法计算，即满足招标文件要求且投标价格最低的投标报价为评标基准价，其价格分为满分</w:t>
      </w:r>
      <w:r>
        <w:rPr>
          <w:rFonts w:hint="eastAsia" w:ascii="宋体" w:hAnsi="宋体" w:cs="宋体"/>
          <w:b/>
          <w:bCs/>
          <w:color w:val="auto"/>
          <w:sz w:val="24"/>
          <w:lang w:eastAsia="zh-CN"/>
        </w:rPr>
        <w:t>，</w:t>
      </w:r>
      <w:r>
        <w:rPr>
          <w:rFonts w:hint="eastAsia" w:ascii="宋体" w:hAnsi="宋体" w:cs="宋体"/>
          <w:b/>
          <w:bCs/>
          <w:color w:val="auto"/>
          <w:sz w:val="24"/>
        </w:rPr>
        <w:t>其他投标人的价格分</w:t>
      </w:r>
      <w:r>
        <w:rPr>
          <w:rFonts w:hint="eastAsia" w:ascii="宋体" w:hAnsi="宋体" w:cs="宋体"/>
          <w:b/>
          <w:bCs/>
          <w:color w:val="auto"/>
          <w:sz w:val="24"/>
          <w:lang w:val="en-US" w:eastAsia="zh-CN"/>
        </w:rPr>
        <w:t>F1和F2</w:t>
      </w:r>
      <w:r>
        <w:rPr>
          <w:rFonts w:hint="eastAsia" w:ascii="宋体" w:hAnsi="宋体" w:cs="宋体"/>
          <w:b/>
          <w:bCs/>
          <w:color w:val="auto"/>
          <w:sz w:val="24"/>
        </w:rPr>
        <w:t>统一按照下列公式计算：投标报价得分=（评标基准价／投标报价）×100</w:t>
      </w:r>
    </w:p>
    <w:p w14:paraId="7BDC5277">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lang w:val="en-US" w:eastAsia="zh-CN"/>
        </w:rPr>
        <w:t>(2)</w:t>
      </w:r>
      <w:r>
        <w:rPr>
          <w:rFonts w:hint="eastAsia" w:ascii="宋体" w:hAnsi="宋体" w:eastAsia="宋体" w:cs="宋体"/>
          <w:b/>
          <w:bCs/>
          <w:color w:val="000000"/>
          <w:kern w:val="2"/>
          <w:sz w:val="24"/>
          <w:szCs w:val="24"/>
          <w:lang w:val="en-US" w:eastAsia="zh-CN" w:bidi="ar-SA"/>
        </w:rPr>
        <w:t>福州五城区、闽侯大学城（包干价）单程及双程的单价合计金额(F1</w:t>
      </w:r>
      <w:r>
        <w:rPr>
          <w:rFonts w:hint="eastAsia" w:ascii="宋体" w:hAnsi="宋体" w:cs="宋体"/>
          <w:b/>
          <w:bCs/>
          <w:color w:val="auto"/>
          <w:sz w:val="24"/>
          <w:lang w:val="en-US" w:eastAsia="zh-CN"/>
        </w:rPr>
        <w:t>)和</w:t>
      </w:r>
      <w:r>
        <w:rPr>
          <w:rFonts w:hint="eastAsia" w:ascii="宋体" w:hAnsi="宋体" w:eastAsia="宋体" w:cs="宋体"/>
          <w:b/>
          <w:bCs/>
          <w:i w:val="0"/>
          <w:color w:val="000000"/>
          <w:kern w:val="0"/>
          <w:sz w:val="24"/>
          <w:szCs w:val="24"/>
          <w:u w:val="none"/>
          <w:lang w:val="en-US" w:eastAsia="zh-CN" w:bidi="ar"/>
        </w:rPr>
        <w:t>其他地区（每公里单价）</w:t>
      </w:r>
      <w:r>
        <w:rPr>
          <w:rFonts w:hint="eastAsia" w:ascii="宋体" w:hAnsi="宋体" w:cs="宋体"/>
          <w:b/>
          <w:bCs/>
          <w:i w:val="0"/>
          <w:color w:val="000000"/>
          <w:kern w:val="0"/>
          <w:sz w:val="24"/>
          <w:szCs w:val="24"/>
          <w:u w:val="none"/>
          <w:lang w:val="en-US" w:eastAsia="zh-CN" w:bidi="ar"/>
        </w:rPr>
        <w:t>单价合计金额(F2)</w:t>
      </w:r>
      <w:r>
        <w:rPr>
          <w:rFonts w:hint="eastAsia" w:ascii="宋体" w:hAnsi="宋体" w:cs="宋体"/>
          <w:b/>
          <w:bCs/>
          <w:color w:val="auto"/>
          <w:sz w:val="24"/>
          <w:szCs w:val="24"/>
          <w:lang w:eastAsia="zh-CN"/>
        </w:rPr>
        <w:t>按</w:t>
      </w:r>
      <w:r>
        <w:rPr>
          <w:rFonts w:hint="eastAsia" w:ascii="宋体" w:hAnsi="宋体" w:cs="宋体"/>
          <w:b/>
          <w:bCs/>
          <w:color w:val="auto"/>
          <w:sz w:val="24"/>
          <w:lang w:val="en-US" w:eastAsia="zh-CN"/>
        </w:rPr>
        <w:t>7</w:t>
      </w:r>
      <w:r>
        <w:rPr>
          <w:rFonts w:hint="eastAsia" w:ascii="宋体" w:hAnsi="宋体" w:eastAsia="宋体" w:cs="宋体"/>
          <w:b/>
          <w:bCs/>
          <w:color w:val="000000"/>
          <w:kern w:val="2"/>
          <w:sz w:val="24"/>
          <w:szCs w:val="24"/>
          <w:lang w:val="en-US" w:eastAsia="zh-CN" w:bidi="ar-SA"/>
        </w:rPr>
        <w:t>:3的比例进行评审，最终以评审价格分(F=F1+F2)</w:t>
      </w:r>
      <w:r>
        <w:rPr>
          <w:rFonts w:hint="eastAsia" w:ascii="宋体" w:hAnsi="宋体" w:cs="宋体"/>
          <w:b/>
          <w:bCs/>
          <w:sz w:val="24"/>
        </w:rPr>
        <w:t>最</w:t>
      </w:r>
      <w:r>
        <w:rPr>
          <w:rFonts w:hint="eastAsia" w:ascii="宋体" w:hAnsi="宋体" w:cs="宋体"/>
          <w:b/>
          <w:bCs/>
          <w:sz w:val="24"/>
          <w:lang w:eastAsia="zh-CN"/>
        </w:rPr>
        <w:t>高</w:t>
      </w:r>
      <w:r>
        <w:rPr>
          <w:rFonts w:hint="eastAsia" w:ascii="宋体" w:hAnsi="宋体" w:cs="宋体"/>
          <w:b/>
          <w:bCs/>
          <w:color w:val="auto"/>
          <w:sz w:val="24"/>
          <w:szCs w:val="24"/>
        </w:rPr>
        <w:t>的原则确定成交</w:t>
      </w:r>
      <w:r>
        <w:rPr>
          <w:rFonts w:hint="eastAsia" w:ascii="宋体" w:hAnsi="宋体" w:cs="宋体"/>
          <w:b/>
          <w:bCs/>
          <w:color w:val="auto"/>
          <w:sz w:val="24"/>
          <w:szCs w:val="24"/>
          <w:lang w:eastAsia="zh-CN"/>
        </w:rPr>
        <w:t>供应商（价格分越高，总报价越低）</w:t>
      </w:r>
      <w:r>
        <w:rPr>
          <w:rFonts w:hint="eastAsia" w:ascii="宋体" w:hAnsi="宋体" w:cs="宋体"/>
          <w:b/>
          <w:bCs/>
          <w:color w:val="auto"/>
          <w:sz w:val="24"/>
          <w:szCs w:val="24"/>
        </w:rPr>
        <w:t>。</w:t>
      </w:r>
    </w:p>
    <w:p w14:paraId="320ABE6D">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2.2.3评审的依据为招标文件（含有效的补充文件），评审小组判断投标文件对招标文件的响应仅基于投标文件本身而不靠外部证据。</w:t>
      </w:r>
    </w:p>
    <w:p w14:paraId="1ACA2C7A">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2.2.4评标结果公示：公开招标结果将在福建中医药大学附属人民医院院内网、院外网的公告栏目内公示。</w:t>
      </w:r>
    </w:p>
    <w:p w14:paraId="16CE968C">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2.3签订合同：</w:t>
      </w:r>
    </w:p>
    <w:p w14:paraId="42E374ED">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2.3.1供应商收到中标通知书后5个工作日内须来我院办理合同签订手续。</w:t>
      </w:r>
    </w:p>
    <w:p w14:paraId="4F4D7514">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2.3.2招标文件、供应商的投标文件及有效承诺文件等，均为签订合同的依据。</w:t>
      </w:r>
    </w:p>
    <w:p w14:paraId="7864D26C">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2.3.3结算说明：</w:t>
      </w:r>
    </w:p>
    <w:p w14:paraId="65E343B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1）租车费按批次结算，甲乙双方根据中标单价和实际产生的行程核定金额，采购人收到正式发票和付款凭证后的10个工作日内以银行转账方式支付费用。本项目合同履约期限两年，合同期内结算总金额不超过40万，合同期和合同总金额实行“双限”，即合同期或总金额有一项达上限时，则合同终止。</w:t>
      </w:r>
    </w:p>
    <w:p w14:paraId="3D4E1C0B">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供应商</w:t>
      </w:r>
      <w:r>
        <w:rPr>
          <w:rFonts w:hint="eastAsia" w:ascii="宋体" w:hAnsi="宋体" w:cs="宋体"/>
          <w:b/>
          <w:bCs/>
          <w:color w:val="auto"/>
          <w:sz w:val="24"/>
          <w:szCs w:val="24"/>
          <w:highlight w:val="none"/>
        </w:rPr>
        <w:t>申请付款时应提供以下材料：</w:t>
      </w:r>
    </w:p>
    <w:p w14:paraId="423E2866">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①</w:t>
      </w:r>
      <w:r>
        <w:rPr>
          <w:rFonts w:hint="eastAsia" w:ascii="宋体" w:hAnsi="宋体" w:cs="宋体"/>
          <w:b/>
          <w:bCs/>
          <w:color w:val="auto"/>
          <w:sz w:val="24"/>
          <w:szCs w:val="24"/>
          <w:highlight w:val="none"/>
        </w:rPr>
        <w:t>增值税普通发票</w:t>
      </w:r>
      <w:r>
        <w:rPr>
          <w:rFonts w:hint="eastAsia" w:ascii="宋体" w:hAnsi="宋体" w:cs="宋体"/>
          <w:b/>
          <w:bCs/>
          <w:color w:val="auto"/>
          <w:sz w:val="24"/>
          <w:szCs w:val="24"/>
          <w:highlight w:val="none"/>
          <w:lang w:eastAsia="zh-CN"/>
        </w:rPr>
        <w:t>；</w:t>
      </w:r>
    </w:p>
    <w:p w14:paraId="3BD71139">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②</w:t>
      </w:r>
      <w:r>
        <w:rPr>
          <w:rFonts w:hint="eastAsia" w:ascii="宋体" w:hAnsi="宋体" w:cs="宋体"/>
          <w:b/>
          <w:bCs/>
          <w:color w:val="auto"/>
          <w:sz w:val="24"/>
          <w:szCs w:val="24"/>
          <w:highlight w:val="none"/>
          <w:lang w:eastAsia="zh-CN"/>
        </w:rPr>
        <w:t>费用明细表（</w:t>
      </w:r>
      <w:r>
        <w:rPr>
          <w:rFonts w:hint="eastAsia" w:ascii="宋体" w:hAnsi="宋体" w:cs="宋体"/>
          <w:b/>
          <w:bCs/>
          <w:color w:val="auto"/>
          <w:sz w:val="24"/>
          <w:szCs w:val="24"/>
          <w:highlight w:val="none"/>
          <w:lang w:val="en-US" w:eastAsia="zh-CN"/>
        </w:rPr>
        <w:t>详见下表</w:t>
      </w:r>
      <w:r>
        <w:rPr>
          <w:rFonts w:hint="eastAsia" w:ascii="宋体" w:hAnsi="宋体" w:cs="宋体"/>
          <w:b/>
          <w:bCs/>
          <w:color w:val="auto"/>
          <w:sz w:val="24"/>
          <w:szCs w:val="24"/>
          <w:highlight w:val="none"/>
          <w:lang w:eastAsia="zh-CN"/>
        </w:rPr>
        <w:t>）；</w:t>
      </w:r>
    </w:p>
    <w:p w14:paraId="1F31C0D6">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right"/>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单位：（元）</w:t>
      </w:r>
    </w:p>
    <w:tbl>
      <w:tblPr>
        <w:tblStyle w:val="29"/>
        <w:tblpPr w:leftFromText="180" w:rightFromText="180" w:vertAnchor="text" w:horzAnchor="page" w:tblpX="2107" w:tblpY="69"/>
        <w:tblOverlap w:val="never"/>
        <w:tblW w:w="0" w:type="auto"/>
        <w:tblInd w:w="0" w:type="dxa"/>
        <w:tblLayout w:type="autofit"/>
        <w:tblCellMar>
          <w:top w:w="0" w:type="dxa"/>
          <w:left w:w="108" w:type="dxa"/>
          <w:bottom w:w="0" w:type="dxa"/>
          <w:right w:w="108" w:type="dxa"/>
        </w:tblCellMar>
      </w:tblPr>
      <w:tblGrid>
        <w:gridCol w:w="551"/>
        <w:gridCol w:w="551"/>
        <w:gridCol w:w="742"/>
        <w:gridCol w:w="647"/>
        <w:gridCol w:w="647"/>
        <w:gridCol w:w="764"/>
        <w:gridCol w:w="597"/>
        <w:gridCol w:w="597"/>
        <w:gridCol w:w="647"/>
        <w:gridCol w:w="551"/>
        <w:gridCol w:w="647"/>
        <w:gridCol w:w="838"/>
        <w:gridCol w:w="743"/>
      </w:tblGrid>
      <w:tr w14:paraId="21B57E13">
        <w:tblPrEx>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97F5D75">
            <w:pPr>
              <w:widowControl/>
              <w:jc w:val="center"/>
              <w:textAlignment w:val="center"/>
              <w:rPr>
                <w:rFonts w:ascii="宋体" w:hAnsi="宋体" w:cs="宋体"/>
                <w:color w:val="000000"/>
                <w:sz w:val="24"/>
              </w:rPr>
            </w:pPr>
            <w:r>
              <w:rPr>
                <w:rFonts w:hint="eastAsia" w:ascii="宋体" w:hAnsi="宋体" w:eastAsia="宋体" w:cs="宋体"/>
                <w:color w:val="000000"/>
                <w:kern w:val="0"/>
                <w:sz w:val="24"/>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3BD9FED">
            <w:pPr>
              <w:widowControl/>
              <w:jc w:val="center"/>
              <w:textAlignment w:val="center"/>
              <w:rPr>
                <w:rFonts w:ascii="宋体" w:hAnsi="宋体" w:cs="宋体"/>
                <w:color w:val="000000"/>
                <w:sz w:val="24"/>
              </w:rPr>
            </w:pPr>
            <w:r>
              <w:rPr>
                <w:rFonts w:hint="eastAsia" w:ascii="宋体" w:hAnsi="宋体" w:eastAsia="宋体" w:cs="宋体"/>
                <w:color w:val="000000"/>
                <w:kern w:val="0"/>
                <w:sz w:val="24"/>
              </w:rPr>
              <w:t>日期</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1F7018A">
            <w:pPr>
              <w:widowControl/>
              <w:jc w:val="center"/>
              <w:textAlignment w:val="center"/>
              <w:rPr>
                <w:rFonts w:ascii="宋体" w:hAnsi="宋体" w:cs="宋体"/>
                <w:color w:val="000000"/>
                <w:sz w:val="24"/>
              </w:rPr>
            </w:pPr>
            <w:r>
              <w:rPr>
                <w:rFonts w:hint="eastAsia" w:ascii="宋体" w:hAnsi="宋体" w:eastAsia="宋体" w:cs="宋体"/>
                <w:color w:val="000000"/>
                <w:kern w:val="0"/>
                <w:sz w:val="24"/>
              </w:rPr>
              <w:t>预约车型</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1D8328F2">
            <w:pPr>
              <w:widowControl/>
              <w:jc w:val="center"/>
              <w:textAlignment w:val="center"/>
              <w:rPr>
                <w:rFonts w:ascii="宋体" w:hAnsi="宋体" w:cs="宋体"/>
                <w:color w:val="000000"/>
                <w:sz w:val="24"/>
              </w:rPr>
            </w:pPr>
            <w:r>
              <w:rPr>
                <w:rFonts w:hint="eastAsia" w:ascii="宋体" w:hAnsi="宋体" w:eastAsia="宋体" w:cs="宋体"/>
                <w:color w:val="000000"/>
                <w:kern w:val="0"/>
                <w:sz w:val="24"/>
              </w:rPr>
              <w:t>车牌号</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148D207E">
            <w:pPr>
              <w:widowControl/>
              <w:jc w:val="center"/>
              <w:textAlignment w:val="center"/>
              <w:rPr>
                <w:rFonts w:ascii="宋体" w:hAnsi="宋体" w:cs="宋体"/>
                <w:color w:val="000000"/>
                <w:sz w:val="24"/>
              </w:rPr>
            </w:pPr>
            <w:r>
              <w:rPr>
                <w:rFonts w:hint="eastAsia" w:ascii="宋体" w:hAnsi="宋体" w:eastAsia="宋体" w:cs="宋体"/>
                <w:color w:val="000000"/>
                <w:kern w:val="0"/>
                <w:sz w:val="24"/>
              </w:rPr>
              <w:t>目的地</w:t>
            </w:r>
          </w:p>
        </w:tc>
        <w:tc>
          <w:tcPr>
            <w:tcW w:w="0" w:type="auto"/>
            <w:gridSpan w:val="3"/>
            <w:tcBorders>
              <w:top w:val="single" w:color="000000" w:sz="4" w:space="0"/>
              <w:left w:val="nil"/>
              <w:bottom w:val="single" w:color="000000" w:sz="4" w:space="0"/>
              <w:right w:val="single" w:color="000000" w:sz="4" w:space="0"/>
            </w:tcBorders>
            <w:noWrap w:val="0"/>
            <w:vAlign w:val="center"/>
          </w:tcPr>
          <w:p w14:paraId="0BA26A9D">
            <w:pPr>
              <w:widowControl/>
              <w:jc w:val="center"/>
              <w:textAlignment w:val="center"/>
              <w:rPr>
                <w:rFonts w:ascii="宋体" w:hAnsi="宋体" w:cs="宋体"/>
                <w:color w:val="000000"/>
                <w:sz w:val="24"/>
              </w:rPr>
            </w:pPr>
            <w:r>
              <w:rPr>
                <w:rFonts w:hint="eastAsia" w:ascii="宋体" w:hAnsi="宋体" w:eastAsia="宋体" w:cs="宋体"/>
                <w:color w:val="000000"/>
                <w:kern w:val="0"/>
                <w:sz w:val="24"/>
              </w:rPr>
              <w:t>福州五城区和闽侯大学城</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68E6BF86">
            <w:pPr>
              <w:widowControl/>
              <w:jc w:val="center"/>
              <w:textAlignment w:val="center"/>
              <w:rPr>
                <w:rFonts w:ascii="宋体" w:hAnsi="宋体" w:cs="宋体"/>
                <w:color w:val="000000"/>
                <w:sz w:val="24"/>
              </w:rPr>
            </w:pPr>
            <w:r>
              <w:rPr>
                <w:rFonts w:hint="eastAsia" w:ascii="宋体" w:hAnsi="宋体" w:cs="宋体"/>
                <w:color w:val="000000"/>
                <w:kern w:val="0"/>
                <w:sz w:val="24"/>
              </w:rPr>
              <w:t>其他</w:t>
            </w:r>
            <w:r>
              <w:rPr>
                <w:rFonts w:hint="eastAsia" w:ascii="宋体" w:hAnsi="宋体" w:eastAsia="宋体" w:cs="宋体"/>
                <w:color w:val="000000"/>
                <w:kern w:val="0"/>
                <w:sz w:val="24"/>
              </w:rPr>
              <w:t>地区</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A2C60C3">
            <w:pPr>
              <w:widowControl/>
              <w:jc w:val="center"/>
              <w:textAlignment w:val="center"/>
              <w:rPr>
                <w:rFonts w:ascii="宋体" w:hAnsi="宋体" w:cs="宋体"/>
                <w:color w:val="000000"/>
                <w:sz w:val="24"/>
              </w:rPr>
            </w:pPr>
            <w:r>
              <w:rPr>
                <w:rFonts w:hint="eastAsia" w:ascii="宋体" w:hAnsi="宋体" w:eastAsia="宋体" w:cs="宋体"/>
                <w:color w:val="000000"/>
                <w:kern w:val="0"/>
                <w:sz w:val="24"/>
              </w:rPr>
              <w:t>高速费</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8F71904">
            <w:pPr>
              <w:widowControl/>
              <w:jc w:val="center"/>
              <w:textAlignment w:val="center"/>
              <w:rPr>
                <w:rFonts w:ascii="宋体" w:hAnsi="宋体" w:cs="宋体"/>
                <w:color w:val="000000"/>
                <w:sz w:val="24"/>
              </w:rPr>
            </w:pPr>
            <w:r>
              <w:rPr>
                <w:rFonts w:hint="eastAsia" w:ascii="宋体" w:hAnsi="宋体" w:eastAsia="宋体" w:cs="宋体"/>
                <w:color w:val="000000"/>
                <w:kern w:val="0"/>
                <w:sz w:val="24"/>
              </w:rPr>
              <w:t>过桥停车费</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49237AB">
            <w:pPr>
              <w:widowControl/>
              <w:jc w:val="center"/>
              <w:textAlignment w:val="center"/>
              <w:rPr>
                <w:rFonts w:ascii="宋体" w:hAnsi="宋体" w:cs="宋体"/>
                <w:color w:val="000000"/>
                <w:sz w:val="24"/>
              </w:rPr>
            </w:pPr>
            <w:r>
              <w:rPr>
                <w:rFonts w:hint="eastAsia" w:ascii="宋体" w:hAnsi="宋体" w:eastAsia="宋体" w:cs="宋体"/>
                <w:color w:val="000000"/>
                <w:kern w:val="0"/>
                <w:sz w:val="24"/>
              </w:rPr>
              <w:t>合计金额</w:t>
            </w:r>
          </w:p>
        </w:tc>
      </w:tr>
      <w:tr w14:paraId="68419A0F">
        <w:tblPrEx>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D3EBBA2">
            <w:pPr>
              <w:jc w:val="center"/>
              <w:rPr>
                <w:rFonts w:ascii="宋体" w:hAnsi="宋体" w:cs="宋体"/>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8508ECB">
            <w:pPr>
              <w:jc w:val="center"/>
              <w:rPr>
                <w:rFonts w:ascii="宋体" w:hAnsi="宋体" w:cs="宋体"/>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8B54C2">
            <w:pPr>
              <w:jc w:val="center"/>
              <w:rPr>
                <w:rFonts w:ascii="宋体" w:hAnsi="宋体" w:cs="宋体"/>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63C658A">
            <w:pPr>
              <w:jc w:val="center"/>
              <w:rPr>
                <w:rFonts w:ascii="宋体" w:hAnsi="宋体" w:cs="宋体"/>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3143C9">
            <w:pPr>
              <w:jc w:val="center"/>
              <w:rPr>
                <w:rFonts w:ascii="宋体" w:hAnsi="宋体" w:cs="宋体"/>
                <w:color w:val="000000"/>
                <w:sz w:val="24"/>
              </w:rPr>
            </w:pPr>
          </w:p>
        </w:tc>
        <w:tc>
          <w:tcPr>
            <w:tcW w:w="0" w:type="auto"/>
            <w:tcBorders>
              <w:top w:val="single" w:color="000000" w:sz="4" w:space="0"/>
              <w:left w:val="nil"/>
              <w:bottom w:val="single" w:color="000000" w:sz="4" w:space="0"/>
              <w:right w:val="single" w:color="000000" w:sz="4" w:space="0"/>
            </w:tcBorders>
            <w:noWrap w:val="0"/>
            <w:vAlign w:val="center"/>
          </w:tcPr>
          <w:p w14:paraId="30441E6A">
            <w:pPr>
              <w:widowControl/>
              <w:jc w:val="center"/>
              <w:textAlignment w:val="center"/>
              <w:rPr>
                <w:rFonts w:ascii="宋体" w:hAnsi="宋体" w:cs="宋体"/>
                <w:color w:val="000000"/>
                <w:sz w:val="24"/>
              </w:rPr>
            </w:pPr>
            <w:r>
              <w:rPr>
                <w:rFonts w:hint="eastAsia" w:ascii="宋体" w:hAnsi="宋体" w:eastAsia="宋体" w:cs="宋体"/>
                <w:color w:val="000000"/>
                <w:kern w:val="0"/>
                <w:sz w:val="24"/>
              </w:rPr>
              <w:t>单/双程</w:t>
            </w:r>
          </w:p>
        </w:tc>
        <w:tc>
          <w:tcPr>
            <w:tcW w:w="0" w:type="auto"/>
            <w:tcBorders>
              <w:top w:val="nil"/>
              <w:left w:val="nil"/>
              <w:bottom w:val="single" w:color="000000" w:sz="4" w:space="0"/>
              <w:right w:val="single" w:color="000000" w:sz="4" w:space="0"/>
            </w:tcBorders>
            <w:noWrap w:val="0"/>
            <w:vAlign w:val="center"/>
          </w:tcPr>
          <w:p w14:paraId="0D31C99E">
            <w:pPr>
              <w:widowControl/>
              <w:jc w:val="center"/>
              <w:textAlignment w:val="center"/>
              <w:rPr>
                <w:rFonts w:ascii="宋体" w:hAnsi="宋体" w:cs="宋体"/>
                <w:color w:val="000000"/>
                <w:sz w:val="24"/>
              </w:rPr>
            </w:pPr>
            <w:r>
              <w:rPr>
                <w:rFonts w:hint="eastAsia" w:ascii="宋体" w:hAnsi="宋体" w:eastAsia="宋体" w:cs="宋体"/>
                <w:color w:val="000000"/>
                <w:kern w:val="0"/>
                <w:sz w:val="24"/>
              </w:rPr>
              <w:t>数量</w:t>
            </w:r>
          </w:p>
        </w:tc>
        <w:tc>
          <w:tcPr>
            <w:tcW w:w="0" w:type="auto"/>
            <w:tcBorders>
              <w:top w:val="nil"/>
              <w:left w:val="single" w:color="000000" w:sz="4" w:space="0"/>
              <w:bottom w:val="single" w:color="000000" w:sz="4" w:space="0"/>
              <w:right w:val="single" w:color="000000" w:sz="4" w:space="0"/>
            </w:tcBorders>
            <w:noWrap w:val="0"/>
            <w:vAlign w:val="center"/>
          </w:tcPr>
          <w:p w14:paraId="7287DEB9">
            <w:pPr>
              <w:widowControl/>
              <w:jc w:val="center"/>
              <w:textAlignment w:val="center"/>
              <w:rPr>
                <w:rFonts w:ascii="宋体" w:hAnsi="宋体" w:cs="宋体"/>
                <w:color w:val="000000"/>
                <w:sz w:val="24"/>
              </w:rPr>
            </w:pPr>
            <w:r>
              <w:rPr>
                <w:rFonts w:hint="eastAsia" w:ascii="宋体" w:hAnsi="宋体" w:eastAsia="宋体" w:cs="宋体"/>
                <w:color w:val="000000"/>
                <w:kern w:val="0"/>
                <w:sz w:val="24"/>
              </w:rPr>
              <w:t>单价</w:t>
            </w:r>
          </w:p>
        </w:tc>
        <w:tc>
          <w:tcPr>
            <w:tcW w:w="0" w:type="auto"/>
            <w:tcBorders>
              <w:top w:val="nil"/>
              <w:left w:val="single" w:color="000000" w:sz="4" w:space="0"/>
              <w:bottom w:val="single" w:color="000000" w:sz="4" w:space="0"/>
              <w:right w:val="single" w:color="000000" w:sz="4" w:space="0"/>
            </w:tcBorders>
            <w:noWrap w:val="0"/>
            <w:vAlign w:val="center"/>
          </w:tcPr>
          <w:p w14:paraId="01123D8A">
            <w:pPr>
              <w:widowControl/>
              <w:jc w:val="center"/>
              <w:textAlignment w:val="center"/>
              <w:rPr>
                <w:rFonts w:ascii="宋体" w:hAnsi="宋体" w:cs="宋体"/>
                <w:color w:val="000000"/>
                <w:sz w:val="24"/>
              </w:rPr>
            </w:pPr>
            <w:r>
              <w:rPr>
                <w:rFonts w:hint="eastAsia" w:ascii="宋体" w:hAnsi="宋体" w:eastAsia="宋体" w:cs="宋体"/>
                <w:color w:val="000000"/>
                <w:kern w:val="0"/>
                <w:sz w:val="24"/>
              </w:rPr>
              <w:t>公里数</w:t>
            </w:r>
          </w:p>
        </w:tc>
        <w:tc>
          <w:tcPr>
            <w:tcW w:w="0" w:type="auto"/>
            <w:tcBorders>
              <w:top w:val="nil"/>
              <w:left w:val="single" w:color="000000" w:sz="4" w:space="0"/>
              <w:bottom w:val="single" w:color="000000" w:sz="4" w:space="0"/>
              <w:right w:val="single" w:color="000000" w:sz="4" w:space="0"/>
            </w:tcBorders>
            <w:noWrap w:val="0"/>
            <w:vAlign w:val="center"/>
          </w:tcPr>
          <w:p w14:paraId="0E6B6B51">
            <w:pPr>
              <w:widowControl/>
              <w:jc w:val="center"/>
              <w:textAlignment w:val="center"/>
              <w:rPr>
                <w:rFonts w:ascii="宋体" w:hAnsi="宋体" w:cs="宋体"/>
                <w:color w:val="000000"/>
                <w:sz w:val="24"/>
              </w:rPr>
            </w:pPr>
            <w:r>
              <w:rPr>
                <w:rFonts w:hint="eastAsia" w:ascii="宋体" w:hAnsi="宋体" w:eastAsia="宋体" w:cs="宋体"/>
                <w:color w:val="000000"/>
                <w:kern w:val="0"/>
                <w:sz w:val="24"/>
              </w:rPr>
              <w:t>单价</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F9AA7A9">
            <w:pPr>
              <w:jc w:val="center"/>
              <w:rPr>
                <w:rFonts w:ascii="宋体" w:hAnsi="宋体" w:cs="宋体"/>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214AE0">
            <w:pPr>
              <w:jc w:val="center"/>
              <w:rPr>
                <w:rFonts w:ascii="宋体" w:hAnsi="宋体" w:cs="宋体"/>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FA1F4C1">
            <w:pPr>
              <w:jc w:val="center"/>
              <w:rPr>
                <w:rFonts w:ascii="宋体" w:hAnsi="宋体" w:cs="宋体"/>
                <w:color w:val="000000"/>
                <w:sz w:val="24"/>
              </w:rPr>
            </w:pPr>
          </w:p>
        </w:tc>
      </w:tr>
      <w:tr w14:paraId="553D00FE">
        <w:tblPrEx>
          <w:tblCellMar>
            <w:top w:w="0" w:type="dxa"/>
            <w:left w:w="108" w:type="dxa"/>
            <w:bottom w:w="0" w:type="dxa"/>
            <w:right w:w="108" w:type="dxa"/>
          </w:tblCellMar>
        </w:tblPrEx>
        <w:trPr>
          <w:trHeight w:val="87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27CF4E0">
            <w:pPr>
              <w:widowControl/>
              <w:jc w:val="center"/>
              <w:textAlignment w:val="center"/>
              <w:rPr>
                <w:rFonts w:ascii="宋体" w:hAnsi="宋体" w:cs="宋体"/>
                <w:color w:val="000000"/>
                <w:sz w:val="24"/>
              </w:rPr>
            </w:pPr>
            <w:r>
              <w:rPr>
                <w:rFonts w:hint="eastAsia" w:ascii="宋体" w:hAnsi="宋体" w:eastAsia="宋体" w:cs="宋体"/>
                <w:color w:val="000000"/>
                <w:kern w:val="0"/>
                <w:sz w:val="24"/>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3C0CAD">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BD5A3D">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DB0551">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CB83F">
            <w:pPr>
              <w:jc w:val="center"/>
              <w:rPr>
                <w:rFonts w:ascii="宋体" w:hAnsi="宋体" w:cs="宋体"/>
                <w:color w:val="000000"/>
                <w:sz w:val="24"/>
              </w:rPr>
            </w:pPr>
          </w:p>
        </w:tc>
        <w:tc>
          <w:tcPr>
            <w:tcW w:w="0" w:type="auto"/>
            <w:tcBorders>
              <w:top w:val="nil"/>
              <w:left w:val="single" w:color="000000" w:sz="4" w:space="0"/>
              <w:bottom w:val="single" w:color="000000" w:sz="4" w:space="0"/>
              <w:right w:val="single" w:color="000000" w:sz="4" w:space="0"/>
            </w:tcBorders>
            <w:noWrap w:val="0"/>
            <w:vAlign w:val="center"/>
          </w:tcPr>
          <w:p w14:paraId="38E60815">
            <w:pPr>
              <w:jc w:val="center"/>
              <w:rPr>
                <w:rFonts w:ascii="宋体" w:hAnsi="宋体" w:cs="宋体"/>
                <w:color w:val="000000"/>
                <w:sz w:val="24"/>
              </w:rPr>
            </w:pPr>
          </w:p>
        </w:tc>
        <w:tc>
          <w:tcPr>
            <w:tcW w:w="0" w:type="auto"/>
            <w:tcBorders>
              <w:top w:val="nil"/>
              <w:left w:val="single" w:color="000000" w:sz="4" w:space="0"/>
              <w:bottom w:val="single" w:color="000000" w:sz="4" w:space="0"/>
              <w:right w:val="single" w:color="000000" w:sz="4" w:space="0"/>
            </w:tcBorders>
            <w:noWrap w:val="0"/>
            <w:vAlign w:val="center"/>
          </w:tcPr>
          <w:p w14:paraId="0904F60F">
            <w:pPr>
              <w:jc w:val="center"/>
              <w:rPr>
                <w:rFonts w:ascii="宋体" w:hAnsi="宋体" w:cs="宋体"/>
                <w:color w:val="000000"/>
                <w:sz w:val="24"/>
              </w:rPr>
            </w:pPr>
          </w:p>
        </w:tc>
        <w:tc>
          <w:tcPr>
            <w:tcW w:w="0" w:type="auto"/>
            <w:tcBorders>
              <w:top w:val="nil"/>
              <w:left w:val="single" w:color="000000" w:sz="4" w:space="0"/>
              <w:bottom w:val="single" w:color="000000" w:sz="4" w:space="0"/>
              <w:right w:val="single" w:color="000000" w:sz="4" w:space="0"/>
            </w:tcBorders>
            <w:noWrap w:val="0"/>
            <w:vAlign w:val="center"/>
          </w:tcPr>
          <w:p w14:paraId="48C62E69">
            <w:pPr>
              <w:jc w:val="center"/>
              <w:rPr>
                <w:rFonts w:ascii="宋体" w:hAnsi="宋体" w:cs="宋体"/>
                <w:color w:val="000000"/>
                <w:sz w:val="24"/>
              </w:rPr>
            </w:pPr>
          </w:p>
        </w:tc>
        <w:tc>
          <w:tcPr>
            <w:tcW w:w="0" w:type="auto"/>
            <w:tcBorders>
              <w:top w:val="nil"/>
              <w:left w:val="single" w:color="000000" w:sz="4" w:space="0"/>
              <w:bottom w:val="single" w:color="000000" w:sz="4" w:space="0"/>
              <w:right w:val="single" w:color="000000" w:sz="4" w:space="0"/>
            </w:tcBorders>
            <w:noWrap w:val="0"/>
            <w:vAlign w:val="center"/>
          </w:tcPr>
          <w:p w14:paraId="7EF29D12">
            <w:pPr>
              <w:jc w:val="center"/>
              <w:rPr>
                <w:rFonts w:ascii="宋体" w:hAnsi="宋体" w:cs="宋体"/>
                <w:color w:val="000000"/>
                <w:sz w:val="24"/>
              </w:rPr>
            </w:pPr>
          </w:p>
        </w:tc>
        <w:tc>
          <w:tcPr>
            <w:tcW w:w="0" w:type="auto"/>
            <w:tcBorders>
              <w:top w:val="nil"/>
              <w:left w:val="single" w:color="000000" w:sz="4" w:space="0"/>
              <w:bottom w:val="single" w:color="000000" w:sz="4" w:space="0"/>
              <w:right w:val="single" w:color="000000" w:sz="4" w:space="0"/>
            </w:tcBorders>
            <w:noWrap w:val="0"/>
            <w:vAlign w:val="center"/>
          </w:tcPr>
          <w:p w14:paraId="73D6AF4C">
            <w:pPr>
              <w:jc w:val="center"/>
              <w:rPr>
                <w:rFonts w:ascii="宋体" w:hAnsi="宋体" w:cs="宋体"/>
                <w:color w:val="000000"/>
                <w:sz w:val="24"/>
              </w:rPr>
            </w:pPr>
          </w:p>
        </w:tc>
        <w:tc>
          <w:tcPr>
            <w:tcW w:w="0" w:type="auto"/>
            <w:tcBorders>
              <w:top w:val="nil"/>
              <w:left w:val="single" w:color="000000" w:sz="4" w:space="0"/>
              <w:bottom w:val="single" w:color="000000" w:sz="4" w:space="0"/>
              <w:right w:val="single" w:color="000000" w:sz="4" w:space="0"/>
            </w:tcBorders>
            <w:noWrap w:val="0"/>
            <w:vAlign w:val="center"/>
          </w:tcPr>
          <w:p w14:paraId="6023D26C">
            <w:pPr>
              <w:jc w:val="center"/>
              <w:rPr>
                <w:rFonts w:ascii="宋体" w:hAnsi="宋体" w:cs="宋体"/>
                <w:color w:val="000000"/>
                <w:sz w:val="24"/>
              </w:rPr>
            </w:pPr>
          </w:p>
        </w:tc>
        <w:tc>
          <w:tcPr>
            <w:tcW w:w="0" w:type="auto"/>
            <w:tcBorders>
              <w:top w:val="nil"/>
              <w:left w:val="single" w:color="000000" w:sz="4" w:space="0"/>
              <w:bottom w:val="single" w:color="000000" w:sz="4" w:space="0"/>
              <w:right w:val="single" w:color="000000" w:sz="4" w:space="0"/>
            </w:tcBorders>
            <w:noWrap w:val="0"/>
            <w:vAlign w:val="center"/>
          </w:tcPr>
          <w:p w14:paraId="457D2D4D">
            <w:pPr>
              <w:jc w:val="center"/>
              <w:rPr>
                <w:rFonts w:ascii="宋体" w:hAnsi="宋体" w:cs="宋体"/>
                <w:color w:val="000000"/>
                <w:sz w:val="24"/>
              </w:rPr>
            </w:pPr>
          </w:p>
        </w:tc>
        <w:tc>
          <w:tcPr>
            <w:tcW w:w="0" w:type="auto"/>
            <w:tcBorders>
              <w:top w:val="nil"/>
              <w:left w:val="single" w:color="000000" w:sz="4" w:space="0"/>
              <w:bottom w:val="single" w:color="000000" w:sz="4" w:space="0"/>
              <w:right w:val="single" w:color="000000" w:sz="4" w:space="0"/>
            </w:tcBorders>
            <w:noWrap w:val="0"/>
            <w:vAlign w:val="center"/>
          </w:tcPr>
          <w:p w14:paraId="01030C91">
            <w:pPr>
              <w:jc w:val="center"/>
              <w:rPr>
                <w:rFonts w:ascii="宋体" w:hAnsi="宋体" w:cs="宋体"/>
                <w:color w:val="000000"/>
                <w:sz w:val="24"/>
              </w:rPr>
            </w:pPr>
          </w:p>
        </w:tc>
      </w:tr>
      <w:tr w14:paraId="3B645180">
        <w:tblPrEx>
          <w:tblCellMar>
            <w:top w:w="0" w:type="dxa"/>
            <w:left w:w="108" w:type="dxa"/>
            <w:bottom w:w="0" w:type="dxa"/>
            <w:right w:w="108" w:type="dxa"/>
          </w:tblCellMar>
        </w:tblPrEx>
        <w:trPr>
          <w:trHeight w:val="500" w:hRule="atLeast"/>
        </w:trPr>
        <w:tc>
          <w:tcPr>
            <w:tcW w:w="0" w:type="auto"/>
            <w:gridSpan w:val="12"/>
            <w:tcBorders>
              <w:top w:val="single" w:color="000000" w:sz="4" w:space="0"/>
              <w:left w:val="single" w:color="000000" w:sz="4" w:space="0"/>
              <w:bottom w:val="single" w:color="000000" w:sz="4" w:space="0"/>
              <w:right w:val="single" w:color="000000" w:sz="4" w:space="0"/>
            </w:tcBorders>
            <w:noWrap/>
            <w:vAlign w:val="center"/>
          </w:tcPr>
          <w:p w14:paraId="5D42CD93">
            <w:pPr>
              <w:widowControl/>
              <w:jc w:val="right"/>
              <w:textAlignment w:val="center"/>
              <w:rPr>
                <w:rFonts w:ascii="宋体" w:hAnsi="宋体" w:cs="宋体"/>
                <w:b/>
                <w:bCs/>
                <w:color w:val="000000"/>
                <w:sz w:val="24"/>
              </w:rPr>
            </w:pPr>
            <w:r>
              <w:rPr>
                <w:rFonts w:hint="eastAsia" w:ascii="宋体" w:hAnsi="宋体" w:eastAsia="宋体" w:cs="宋体"/>
                <w:b/>
                <w:bCs/>
                <w:color w:val="000000"/>
                <w:kern w:val="0"/>
                <w:sz w:val="24"/>
              </w:rPr>
              <w:t>总计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E1CDD8">
            <w:pPr>
              <w:jc w:val="center"/>
              <w:rPr>
                <w:rFonts w:ascii="宋体" w:hAnsi="宋体" w:cs="宋体"/>
                <w:b/>
                <w:bCs/>
                <w:color w:val="000000"/>
                <w:sz w:val="24"/>
              </w:rPr>
            </w:pPr>
          </w:p>
        </w:tc>
      </w:tr>
    </w:tbl>
    <w:p w14:paraId="7961D4C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③</w:t>
      </w:r>
      <w:r>
        <w:rPr>
          <w:rFonts w:hint="eastAsia" w:ascii="宋体" w:hAnsi="宋体" w:cs="宋体"/>
          <w:b/>
          <w:bCs/>
          <w:color w:val="auto"/>
          <w:sz w:val="24"/>
          <w:szCs w:val="24"/>
          <w:highlight w:val="none"/>
          <w:lang w:eastAsia="zh-CN"/>
        </w:rPr>
        <w:t>前往福州五城区和闽侯大学城以外地区的行程需提供车载GPS路线图，图上须体现总里程数（无法提供GPS路线图的行程一律按照百度地图导航最短路程的里程数进行结算）</w:t>
      </w:r>
      <w:r>
        <w:rPr>
          <w:rFonts w:hint="eastAsia" w:ascii="宋体" w:hAnsi="宋体" w:cs="宋体"/>
          <w:b/>
          <w:bCs/>
          <w:color w:val="auto"/>
          <w:sz w:val="24"/>
          <w:szCs w:val="24"/>
          <w:highlight w:val="none"/>
        </w:rPr>
        <w:t>；</w:t>
      </w:r>
    </w:p>
    <w:p w14:paraId="0FE3639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④</w:t>
      </w:r>
      <w:r>
        <w:rPr>
          <w:rFonts w:hint="eastAsia" w:ascii="宋体" w:hAnsi="宋体" w:cs="宋体"/>
          <w:b/>
          <w:bCs/>
          <w:color w:val="auto"/>
          <w:sz w:val="24"/>
          <w:szCs w:val="24"/>
          <w:highlight w:val="none"/>
        </w:rPr>
        <w:t>闽通卡网上营业厅通行记录截图；停车费、过桥费的发票收据或手机付款记录截图；</w:t>
      </w:r>
    </w:p>
    <w:p w14:paraId="6F3372F6">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⑤</w:t>
      </w:r>
      <w:r>
        <w:rPr>
          <w:rFonts w:hint="eastAsia" w:ascii="宋体" w:hAnsi="宋体" w:cs="宋体"/>
          <w:b/>
          <w:bCs/>
          <w:color w:val="auto"/>
          <w:sz w:val="24"/>
          <w:szCs w:val="24"/>
          <w:highlight w:val="none"/>
        </w:rPr>
        <w:t>合同复印件。</w:t>
      </w:r>
    </w:p>
    <w:p w14:paraId="55CF2AD2">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p>
    <w:p w14:paraId="1832B1AC">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p>
    <w:p w14:paraId="6026B5F6">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p>
    <w:p w14:paraId="5178735E">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p>
    <w:p w14:paraId="11BE296C">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ascii="宋体" w:hAnsi="宋体" w:eastAsia="宋体" w:cs="宋体"/>
          <w:b/>
          <w:color w:val="000000"/>
          <w:sz w:val="36"/>
        </w:rPr>
      </w:pPr>
    </w:p>
    <w:p w14:paraId="26B47D6D">
      <w:pPr>
        <w:pStyle w:val="2"/>
        <w:rPr>
          <w:rFonts w:ascii="宋体" w:hAnsi="宋体" w:eastAsia="宋体" w:cs="宋体"/>
          <w:b/>
          <w:color w:val="000000"/>
          <w:sz w:val="36"/>
        </w:rPr>
      </w:pPr>
    </w:p>
    <w:p w14:paraId="55DCDE92">
      <w:pPr>
        <w:pStyle w:val="2"/>
        <w:rPr>
          <w:rFonts w:ascii="宋体" w:hAnsi="宋体" w:eastAsia="宋体" w:cs="宋体"/>
          <w:b/>
          <w:color w:val="000000"/>
          <w:sz w:val="36"/>
        </w:rPr>
      </w:pPr>
    </w:p>
    <w:p w14:paraId="06E2C929">
      <w:pPr>
        <w:pStyle w:val="2"/>
        <w:rPr>
          <w:rFonts w:ascii="宋体" w:hAnsi="宋体" w:eastAsia="宋体" w:cs="宋体"/>
          <w:b/>
          <w:color w:val="000000"/>
          <w:sz w:val="36"/>
        </w:rPr>
      </w:pPr>
    </w:p>
    <w:p w14:paraId="04D404A9">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36"/>
        </w:rPr>
        <w:t>三、招标项目具体要求</w:t>
      </w:r>
    </w:p>
    <w:p w14:paraId="4B7AD7FC">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1.项目概况：</w:t>
      </w:r>
      <w:r>
        <w:rPr>
          <w:rFonts w:hint="eastAsia" w:ascii="宋体" w:hAnsi="宋体" w:eastAsia="宋体" w:cs="宋体"/>
          <w:color w:val="auto"/>
          <w:sz w:val="24"/>
          <w:szCs w:val="24"/>
          <w:highlight w:val="none"/>
          <w:lang w:val="en-US" w:eastAsia="zh-CN"/>
        </w:rPr>
        <w:t>我院需委托一家供应商提供团体体检、集体活动、学术会议、航班接送、应急演练、防疫等任务的客车租赁服务。</w:t>
      </w:r>
    </w:p>
    <w:p w14:paraId="5F6A3A47">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2.资质要求：</w:t>
      </w:r>
    </w:p>
    <w:p w14:paraId="20D444D3">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2.1具有独立法人资格和营业执照。</w:t>
      </w:r>
    </w:p>
    <w:p w14:paraId="615DED99">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default" w:ascii="宋体" w:hAnsi="宋体" w:eastAsia="宋体" w:cs="宋体"/>
          <w:color w:val="000000"/>
          <w:sz w:val="24"/>
          <w:lang w:val="en-US" w:eastAsia="zh-CN"/>
        </w:rPr>
      </w:pPr>
      <w:r>
        <w:rPr>
          <w:rFonts w:ascii="宋体" w:hAnsi="宋体" w:eastAsia="宋体" w:cs="宋体"/>
          <w:color w:val="000000"/>
          <w:sz w:val="24"/>
        </w:rPr>
        <w:t>2.2</w:t>
      </w:r>
      <w:r>
        <w:rPr>
          <w:rFonts w:hint="default" w:ascii="宋体" w:hAnsi="宋体" w:eastAsia="宋体" w:cs="宋体"/>
          <w:color w:val="000000"/>
          <w:sz w:val="24"/>
          <w:lang w:val="en-US" w:eastAsia="zh-CN"/>
        </w:rPr>
        <w:t>具备道路运输经营许可证。</w:t>
      </w:r>
    </w:p>
    <w:p w14:paraId="13B0BF81">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2.3</w:t>
      </w:r>
      <w:r>
        <w:rPr>
          <w:rFonts w:hint="default" w:ascii="宋体" w:hAnsi="宋体" w:eastAsia="宋体" w:cs="宋体"/>
          <w:color w:val="000000"/>
          <w:sz w:val="24"/>
          <w:lang w:val="en-US" w:eastAsia="zh-CN"/>
        </w:rPr>
        <w:t>按时投保道路客运承运人责任险。</w:t>
      </w:r>
    </w:p>
    <w:p w14:paraId="18DC2158">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2.4</w:t>
      </w:r>
      <w:r>
        <w:rPr>
          <w:rFonts w:hint="default" w:ascii="宋体" w:hAnsi="宋体" w:eastAsia="宋体" w:cs="宋体"/>
          <w:color w:val="000000"/>
          <w:sz w:val="24"/>
          <w:lang w:val="en-US" w:eastAsia="zh-CN"/>
        </w:rPr>
        <w:t>具备30座以下、30-40座、40-50座、50座及以上的不同车型供</w:t>
      </w:r>
      <w:r>
        <w:rPr>
          <w:rFonts w:hint="eastAsia" w:ascii="宋体" w:hAnsi="宋体" w:eastAsia="宋体" w:cs="宋体"/>
          <w:color w:val="000000"/>
          <w:sz w:val="24"/>
          <w:lang w:val="en-US" w:eastAsia="zh-CN"/>
        </w:rPr>
        <w:t>采购人</w:t>
      </w:r>
      <w:r>
        <w:rPr>
          <w:rFonts w:hint="default" w:ascii="宋体" w:hAnsi="宋体" w:eastAsia="宋体" w:cs="宋体"/>
          <w:color w:val="000000"/>
          <w:sz w:val="24"/>
          <w:lang w:val="en-US" w:eastAsia="zh-CN"/>
        </w:rPr>
        <w:t>选择，每种车型至少有2部。</w:t>
      </w:r>
    </w:p>
    <w:p w14:paraId="60212F71">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hint="eastAsia" w:ascii="宋体" w:hAnsi="宋体" w:eastAsia="宋体" w:cs="宋体"/>
          <w:color w:val="000000"/>
          <w:sz w:val="24"/>
          <w:lang w:val="en-US" w:eastAsia="zh-CN"/>
        </w:rPr>
        <w:t>2.5</w:t>
      </w:r>
      <w:r>
        <w:rPr>
          <w:rFonts w:ascii="宋体" w:hAnsi="宋体" w:eastAsia="宋体" w:cs="宋体"/>
          <w:color w:val="000000"/>
          <w:sz w:val="24"/>
        </w:rPr>
        <w:t>凡有能力提供本招标文件所述服务，具备本招标文件中规定条件的境内供应商均可参加本次采购活动。</w:t>
      </w:r>
    </w:p>
    <w:p w14:paraId="504EB858">
      <w:pPr>
        <w:numPr>
          <w:ilvl w:val="0"/>
          <w:numId w:val="1"/>
        </w:numPr>
        <w:pBdr>
          <w:top w:val="none" w:color="000000" w:sz="0" w:space="0"/>
          <w:left w:val="none" w:color="000000" w:sz="0" w:space="0"/>
          <w:bottom w:val="none" w:color="000000" w:sz="0" w:space="0"/>
          <w:right w:val="none" w:color="000000" w:sz="0" w:space="0"/>
        </w:pBdr>
        <w:spacing w:before="0" w:after="0" w:line="360" w:lineRule="auto"/>
      </w:pPr>
      <w:r>
        <w:rPr>
          <w:rFonts w:ascii="宋体" w:hAnsi="宋体" w:eastAsia="宋体" w:cs="宋体"/>
          <w:b/>
          <w:color w:val="000000"/>
          <w:sz w:val="24"/>
        </w:rPr>
        <w:t>招标控制价</w:t>
      </w:r>
    </w:p>
    <w:p w14:paraId="685FBA4E">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2" w:firstLineChars="200"/>
        <w:rPr>
          <w:rFonts w:ascii="宋体" w:hAnsi="宋体" w:eastAsia="宋体" w:cs="宋体"/>
          <w:b/>
          <w:bCs/>
          <w:color w:val="000000"/>
          <w:sz w:val="24"/>
        </w:rPr>
      </w:pPr>
      <w:r>
        <w:rPr>
          <w:rFonts w:hint="eastAsia" w:ascii="宋体" w:hAnsi="宋体" w:eastAsia="宋体" w:cs="宋体"/>
          <w:b/>
          <w:bCs/>
          <w:color w:val="000000"/>
          <w:sz w:val="24"/>
          <w:lang w:val="en-US" w:eastAsia="zh-CN"/>
        </w:rPr>
        <w:t>本项目合同后续执行总金额不超40万元，</w:t>
      </w:r>
      <w:r>
        <w:rPr>
          <w:rFonts w:ascii="宋体" w:hAnsi="宋体" w:eastAsia="宋体" w:cs="宋体"/>
          <w:b/>
          <w:bCs/>
          <w:color w:val="000000"/>
          <w:sz w:val="24"/>
        </w:rPr>
        <w:t>招标控制</w:t>
      </w:r>
      <w:r>
        <w:rPr>
          <w:rFonts w:hint="eastAsia" w:ascii="宋体" w:hAnsi="宋体" w:eastAsia="宋体" w:cs="宋体"/>
          <w:b/>
          <w:bCs/>
          <w:color w:val="000000"/>
          <w:sz w:val="24"/>
          <w:lang w:val="en-US" w:eastAsia="zh-CN"/>
        </w:rPr>
        <w:t>单</w:t>
      </w:r>
      <w:r>
        <w:rPr>
          <w:rFonts w:ascii="宋体" w:hAnsi="宋体" w:eastAsia="宋体" w:cs="宋体"/>
          <w:b/>
          <w:bCs/>
          <w:color w:val="000000"/>
          <w:sz w:val="24"/>
        </w:rPr>
        <w:t>价</w:t>
      </w:r>
      <w:r>
        <w:rPr>
          <w:rFonts w:hint="eastAsia" w:ascii="宋体" w:hAnsi="宋体" w:eastAsia="宋体" w:cs="宋体"/>
          <w:b/>
          <w:bCs/>
          <w:color w:val="000000"/>
          <w:sz w:val="24"/>
          <w:lang w:val="en-US" w:eastAsia="zh-CN"/>
        </w:rPr>
        <w:t>详见下表</w:t>
      </w:r>
      <w:r>
        <w:rPr>
          <w:rFonts w:ascii="宋体" w:hAnsi="宋体" w:eastAsia="宋体" w:cs="宋体"/>
          <w:b/>
          <w:bCs/>
          <w:color w:val="000000"/>
          <w:sz w:val="24"/>
        </w:rPr>
        <w:t>，投标人报价</w:t>
      </w:r>
      <w:r>
        <w:rPr>
          <w:rFonts w:hint="eastAsia" w:ascii="宋体" w:hAnsi="宋体" w:eastAsia="宋体" w:cs="宋体"/>
          <w:b/>
          <w:bCs/>
          <w:color w:val="000000"/>
          <w:sz w:val="24"/>
          <w:lang w:val="en-US" w:eastAsia="zh-CN"/>
        </w:rPr>
        <w:t>不得</w:t>
      </w:r>
      <w:r>
        <w:rPr>
          <w:rFonts w:ascii="宋体" w:hAnsi="宋体" w:eastAsia="宋体" w:cs="宋体"/>
          <w:b/>
          <w:bCs/>
          <w:color w:val="000000"/>
          <w:sz w:val="24"/>
        </w:rPr>
        <w:t>超过招标控制</w:t>
      </w:r>
      <w:r>
        <w:rPr>
          <w:rFonts w:hint="eastAsia" w:ascii="宋体" w:hAnsi="宋体" w:eastAsia="宋体" w:cs="宋体"/>
          <w:b/>
          <w:bCs/>
          <w:color w:val="000000"/>
          <w:sz w:val="24"/>
          <w:lang w:val="en-US" w:eastAsia="zh-CN"/>
        </w:rPr>
        <w:t>单</w:t>
      </w:r>
      <w:r>
        <w:rPr>
          <w:rFonts w:ascii="宋体" w:hAnsi="宋体" w:eastAsia="宋体" w:cs="宋体"/>
          <w:b/>
          <w:bCs/>
          <w:color w:val="000000"/>
          <w:sz w:val="24"/>
        </w:rPr>
        <w:t>价，</w:t>
      </w:r>
      <w:r>
        <w:rPr>
          <w:rFonts w:hint="eastAsia" w:ascii="宋体" w:hAnsi="宋体" w:eastAsia="宋体" w:cs="宋体"/>
          <w:b/>
          <w:bCs/>
          <w:color w:val="000000"/>
          <w:sz w:val="24"/>
          <w:lang w:val="en-US" w:eastAsia="zh-CN"/>
        </w:rPr>
        <w:t>否则</w:t>
      </w:r>
      <w:r>
        <w:rPr>
          <w:rFonts w:ascii="宋体" w:hAnsi="宋体" w:eastAsia="宋体" w:cs="宋体"/>
          <w:b/>
          <w:bCs/>
          <w:color w:val="000000"/>
          <w:sz w:val="24"/>
        </w:rPr>
        <w:t>视为无效投标。</w:t>
      </w:r>
    </w:p>
    <w:tbl>
      <w:tblPr>
        <w:tblStyle w:val="29"/>
        <w:tblW w:w="8509" w:type="dxa"/>
        <w:jc w:val="center"/>
        <w:tblLayout w:type="fixed"/>
        <w:tblCellMar>
          <w:top w:w="0" w:type="dxa"/>
          <w:left w:w="0" w:type="dxa"/>
          <w:bottom w:w="0" w:type="dxa"/>
          <w:right w:w="0" w:type="dxa"/>
        </w:tblCellMar>
      </w:tblPr>
      <w:tblGrid>
        <w:gridCol w:w="1836"/>
        <w:gridCol w:w="1212"/>
        <w:gridCol w:w="1296"/>
        <w:gridCol w:w="1284"/>
        <w:gridCol w:w="1380"/>
        <w:gridCol w:w="1501"/>
      </w:tblGrid>
      <w:tr w14:paraId="40D4B347">
        <w:tblPrEx>
          <w:tblCellMar>
            <w:top w:w="0" w:type="dxa"/>
            <w:left w:w="0" w:type="dxa"/>
            <w:bottom w:w="0" w:type="dxa"/>
            <w:right w:w="0" w:type="dxa"/>
          </w:tblCellMar>
        </w:tblPrEx>
        <w:trPr>
          <w:trHeight w:val="90" w:hRule="atLeast"/>
          <w:jc w:val="center"/>
        </w:trPr>
        <w:tc>
          <w:tcPr>
            <w:tcW w:w="3048" w:type="dxa"/>
            <w:gridSpan w:val="2"/>
            <w:tcBorders>
              <w:top w:val="single" w:color="000000" w:sz="4" w:space="0"/>
              <w:left w:val="single" w:color="000000" w:sz="4" w:space="0"/>
              <w:bottom w:val="single" w:color="000000" w:sz="4" w:space="0"/>
              <w:right w:val="single" w:color="000000" w:sz="4" w:space="0"/>
              <w:tl2br w:val="single" w:color="000000" w:sz="4" w:space="0"/>
            </w:tcBorders>
            <w:noWrap/>
            <w:tcMar>
              <w:top w:w="15" w:type="dxa"/>
              <w:left w:w="15" w:type="dxa"/>
              <w:right w:w="15" w:type="dxa"/>
            </w:tcMar>
            <w:vAlign w:val="center"/>
          </w:tcPr>
          <w:p w14:paraId="73F85BD5">
            <w:pPr>
              <w:widowControl/>
              <w:spacing w:line="460" w:lineRule="exact"/>
              <w:jc w:val="left"/>
              <w:textAlignment w:val="center"/>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 xml:space="preserve">                 车型</w:t>
            </w:r>
            <w:r>
              <w:rPr>
                <w:rFonts w:hint="eastAsia" w:ascii="宋体" w:hAnsi="宋体" w:eastAsia="宋体" w:cs="宋体"/>
                <w:b w:val="0"/>
                <w:bCs w:val="0"/>
                <w:color w:val="000000"/>
                <w:kern w:val="0"/>
                <w:szCs w:val="21"/>
              </w:rPr>
              <w:br w:type="textWrapping"/>
            </w:r>
            <w:r>
              <w:rPr>
                <w:rFonts w:hint="eastAsia" w:ascii="宋体" w:hAnsi="宋体" w:eastAsia="宋体" w:cs="宋体"/>
                <w:b w:val="0"/>
                <w:bCs w:val="0"/>
                <w:color w:val="000000"/>
                <w:kern w:val="0"/>
                <w:szCs w:val="21"/>
              </w:rPr>
              <w:t xml:space="preserve">   地点</w:t>
            </w:r>
          </w:p>
        </w:tc>
        <w:tc>
          <w:tcPr>
            <w:tcW w:w="12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3DC1F">
            <w:pPr>
              <w:widowControl/>
              <w:spacing w:line="460" w:lineRule="exact"/>
              <w:jc w:val="center"/>
              <w:textAlignment w:val="center"/>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30座以下</w:t>
            </w:r>
          </w:p>
        </w:tc>
        <w:tc>
          <w:tcPr>
            <w:tcW w:w="1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140F2E">
            <w:pPr>
              <w:widowControl/>
              <w:spacing w:line="460" w:lineRule="exact"/>
              <w:jc w:val="center"/>
              <w:textAlignment w:val="center"/>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30座（含）</w:t>
            </w:r>
            <w:r>
              <w:rPr>
                <w:rFonts w:hint="eastAsia" w:ascii="宋体" w:hAnsi="宋体" w:eastAsia="宋体" w:cs="宋体"/>
                <w:b w:val="0"/>
                <w:bCs w:val="0"/>
                <w:color w:val="000000"/>
                <w:kern w:val="0"/>
                <w:szCs w:val="21"/>
                <w:lang w:val="en-US" w:eastAsia="zh-CN"/>
              </w:rPr>
              <w:t>至</w:t>
            </w:r>
            <w:r>
              <w:rPr>
                <w:rFonts w:hint="eastAsia" w:ascii="宋体" w:hAnsi="宋体" w:eastAsia="宋体" w:cs="宋体"/>
                <w:b w:val="0"/>
                <w:bCs w:val="0"/>
                <w:color w:val="000000"/>
                <w:kern w:val="0"/>
                <w:szCs w:val="21"/>
              </w:rPr>
              <w:t>40座</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CF59F7">
            <w:pPr>
              <w:widowControl/>
              <w:spacing w:line="460" w:lineRule="exact"/>
              <w:jc w:val="center"/>
              <w:textAlignment w:val="center"/>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40座（含）</w:t>
            </w:r>
            <w:r>
              <w:rPr>
                <w:rFonts w:hint="eastAsia" w:ascii="宋体" w:hAnsi="宋体" w:eastAsia="宋体" w:cs="宋体"/>
                <w:b w:val="0"/>
                <w:bCs w:val="0"/>
                <w:color w:val="000000"/>
                <w:kern w:val="0"/>
                <w:szCs w:val="21"/>
                <w:lang w:val="en-US" w:eastAsia="zh-CN"/>
              </w:rPr>
              <w:t>至</w:t>
            </w:r>
            <w:r>
              <w:rPr>
                <w:rFonts w:hint="eastAsia" w:ascii="宋体" w:hAnsi="宋体" w:eastAsia="宋体" w:cs="宋体"/>
                <w:b w:val="0"/>
                <w:bCs w:val="0"/>
                <w:color w:val="000000"/>
                <w:kern w:val="0"/>
                <w:szCs w:val="21"/>
              </w:rPr>
              <w:t>50座</w:t>
            </w:r>
          </w:p>
        </w:tc>
        <w:tc>
          <w:tcPr>
            <w:tcW w:w="1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C0E92">
            <w:pPr>
              <w:widowControl/>
              <w:spacing w:line="460" w:lineRule="exact"/>
              <w:jc w:val="center"/>
              <w:textAlignment w:val="center"/>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50座（含）以上</w:t>
            </w:r>
          </w:p>
        </w:tc>
      </w:tr>
      <w:tr w14:paraId="4A2D5899">
        <w:tblPrEx>
          <w:tblCellMar>
            <w:top w:w="0" w:type="dxa"/>
            <w:left w:w="0" w:type="dxa"/>
            <w:bottom w:w="0" w:type="dxa"/>
            <w:right w:w="0" w:type="dxa"/>
          </w:tblCellMar>
        </w:tblPrEx>
        <w:trPr>
          <w:trHeight w:val="625" w:hRule="atLeast"/>
          <w:jc w:val="center"/>
        </w:trPr>
        <w:tc>
          <w:tcPr>
            <w:tcW w:w="183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D49FEA">
            <w:pPr>
              <w:widowControl/>
              <w:spacing w:line="460" w:lineRule="exact"/>
              <w:jc w:val="center"/>
              <w:textAlignment w:val="center"/>
              <w:rPr>
                <w:rFonts w:ascii="宋体" w:hAnsi="宋体" w:eastAsia="宋体" w:cs="宋体"/>
                <w:b w:val="0"/>
                <w:bCs w:val="0"/>
                <w:color w:val="000000"/>
                <w:kern w:val="0"/>
                <w:szCs w:val="21"/>
              </w:rPr>
            </w:pPr>
            <w:r>
              <w:rPr>
                <w:rFonts w:hint="eastAsia" w:ascii="宋体" w:hAnsi="宋体" w:eastAsia="宋体" w:cs="宋体"/>
                <w:b w:val="0"/>
                <w:bCs w:val="0"/>
                <w:color w:val="000000"/>
                <w:kern w:val="0"/>
                <w:szCs w:val="21"/>
              </w:rPr>
              <w:t>福州五城区、闽侯大学城（包干价）</w:t>
            </w: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BF19D">
            <w:pPr>
              <w:widowControl/>
              <w:spacing w:line="460" w:lineRule="exact"/>
              <w:jc w:val="center"/>
              <w:textAlignment w:val="center"/>
              <w:rPr>
                <w:rFonts w:hint="eastAsia" w:ascii="宋体" w:hAnsi="宋体" w:eastAsia="宋体" w:cs="宋体"/>
                <w:b w:val="0"/>
                <w:bCs w:val="0"/>
                <w:color w:val="000000"/>
                <w:kern w:val="0"/>
                <w:szCs w:val="21"/>
                <w:lang w:eastAsia="zh-CN"/>
              </w:rPr>
            </w:pPr>
            <w:r>
              <w:rPr>
                <w:rFonts w:hint="eastAsia" w:ascii="宋体" w:hAnsi="宋体" w:eastAsia="宋体" w:cs="宋体"/>
                <w:b w:val="0"/>
                <w:bCs w:val="0"/>
                <w:color w:val="000000"/>
                <w:kern w:val="0"/>
                <w:szCs w:val="21"/>
              </w:rPr>
              <w:t>单程</w:t>
            </w:r>
            <w:r>
              <w:rPr>
                <w:rFonts w:hint="eastAsia" w:ascii="宋体" w:hAnsi="宋体" w:eastAsia="宋体" w:cs="宋体"/>
                <w:b w:val="0"/>
                <w:bCs w:val="0"/>
                <w:color w:val="000000"/>
                <w:kern w:val="0"/>
                <w:szCs w:val="21"/>
                <w:lang w:eastAsia="zh-CN"/>
              </w:rPr>
              <w:t>（</w:t>
            </w:r>
            <w:r>
              <w:rPr>
                <w:rFonts w:hint="eastAsia" w:ascii="宋体" w:hAnsi="宋体" w:eastAsia="宋体" w:cs="宋体"/>
                <w:b w:val="0"/>
                <w:bCs w:val="0"/>
                <w:color w:val="000000"/>
                <w:kern w:val="0"/>
                <w:szCs w:val="21"/>
                <w:lang w:val="en-US" w:eastAsia="zh-CN"/>
              </w:rPr>
              <w:t>元</w:t>
            </w:r>
            <w:r>
              <w:rPr>
                <w:rFonts w:hint="eastAsia" w:ascii="宋体" w:hAnsi="宋体" w:eastAsia="宋体" w:cs="宋体"/>
                <w:b w:val="0"/>
                <w:bCs w:val="0"/>
                <w:color w:val="000000"/>
                <w:kern w:val="0"/>
                <w:szCs w:val="21"/>
                <w:lang w:eastAsia="zh-CN"/>
              </w:rPr>
              <w:t>）</w:t>
            </w:r>
          </w:p>
        </w:tc>
        <w:tc>
          <w:tcPr>
            <w:tcW w:w="12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F224D4">
            <w:pPr>
              <w:widowControl/>
              <w:spacing w:line="460" w:lineRule="exact"/>
              <w:jc w:val="center"/>
              <w:textAlignment w:val="center"/>
              <w:rPr>
                <w:rFonts w:ascii="宋体" w:hAnsi="宋体" w:eastAsia="宋体" w:cs="宋体"/>
                <w:b w:val="0"/>
                <w:bCs w:val="0"/>
                <w:color w:val="000000"/>
                <w:kern w:val="0"/>
                <w:szCs w:val="21"/>
              </w:rPr>
            </w:pPr>
            <w:r>
              <w:rPr>
                <w:rFonts w:hint="eastAsia" w:ascii="宋体" w:hAnsi="宋体" w:eastAsia="宋体" w:cs="宋体"/>
                <w:b w:val="0"/>
                <w:bCs w:val="0"/>
                <w:i w:val="0"/>
                <w:iCs w:val="0"/>
                <w:color w:val="000000"/>
                <w:kern w:val="0"/>
                <w:sz w:val="20"/>
                <w:szCs w:val="20"/>
                <w:u w:val="none"/>
                <w:lang w:val="en-US" w:eastAsia="zh-CN" w:bidi="ar"/>
              </w:rPr>
              <w:t>400</w:t>
            </w:r>
          </w:p>
        </w:tc>
        <w:tc>
          <w:tcPr>
            <w:tcW w:w="1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5A54B">
            <w:pPr>
              <w:widowControl/>
              <w:spacing w:line="460" w:lineRule="exact"/>
              <w:jc w:val="center"/>
              <w:textAlignment w:val="center"/>
              <w:rPr>
                <w:rFonts w:ascii="宋体" w:hAnsi="宋体" w:eastAsia="宋体" w:cs="宋体"/>
                <w:b w:val="0"/>
                <w:bCs w:val="0"/>
                <w:color w:val="000000"/>
                <w:kern w:val="0"/>
                <w:szCs w:val="21"/>
              </w:rPr>
            </w:pPr>
            <w:r>
              <w:rPr>
                <w:rFonts w:hint="eastAsia" w:ascii="宋体" w:hAnsi="宋体" w:eastAsia="宋体" w:cs="宋体"/>
                <w:b w:val="0"/>
                <w:bCs w:val="0"/>
                <w:i w:val="0"/>
                <w:iCs w:val="0"/>
                <w:color w:val="000000"/>
                <w:kern w:val="0"/>
                <w:sz w:val="20"/>
                <w:szCs w:val="20"/>
                <w:u w:val="none"/>
                <w:lang w:val="en-US" w:eastAsia="zh-CN" w:bidi="ar"/>
              </w:rPr>
              <w:t>450</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C6362">
            <w:pPr>
              <w:widowControl/>
              <w:spacing w:line="460" w:lineRule="exact"/>
              <w:jc w:val="center"/>
              <w:textAlignment w:val="center"/>
              <w:rPr>
                <w:rFonts w:ascii="宋体" w:hAnsi="宋体" w:eastAsia="宋体" w:cs="宋体"/>
                <w:b w:val="0"/>
                <w:bCs w:val="0"/>
                <w:color w:val="000000"/>
                <w:kern w:val="0"/>
                <w:szCs w:val="21"/>
              </w:rPr>
            </w:pPr>
            <w:r>
              <w:rPr>
                <w:rFonts w:hint="eastAsia" w:ascii="宋体" w:hAnsi="宋体" w:eastAsia="宋体" w:cs="宋体"/>
                <w:b w:val="0"/>
                <w:bCs w:val="0"/>
                <w:i w:val="0"/>
                <w:iCs w:val="0"/>
                <w:color w:val="000000"/>
                <w:kern w:val="0"/>
                <w:sz w:val="20"/>
                <w:szCs w:val="20"/>
                <w:u w:val="none"/>
                <w:lang w:val="en-US" w:eastAsia="zh-CN" w:bidi="ar"/>
              </w:rPr>
              <w:t>500</w:t>
            </w:r>
          </w:p>
        </w:tc>
        <w:tc>
          <w:tcPr>
            <w:tcW w:w="1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C457B6">
            <w:pPr>
              <w:widowControl/>
              <w:spacing w:line="460" w:lineRule="exact"/>
              <w:jc w:val="center"/>
              <w:textAlignment w:val="center"/>
              <w:rPr>
                <w:rFonts w:ascii="宋体" w:hAnsi="宋体" w:eastAsia="宋体" w:cs="宋体"/>
                <w:b w:val="0"/>
                <w:bCs w:val="0"/>
                <w:color w:val="000000"/>
                <w:kern w:val="0"/>
                <w:szCs w:val="21"/>
              </w:rPr>
            </w:pPr>
            <w:r>
              <w:rPr>
                <w:rFonts w:hint="eastAsia" w:ascii="宋体" w:hAnsi="宋体" w:eastAsia="宋体" w:cs="宋体"/>
                <w:b w:val="0"/>
                <w:bCs w:val="0"/>
                <w:i w:val="0"/>
                <w:iCs w:val="0"/>
                <w:color w:val="000000"/>
                <w:kern w:val="0"/>
                <w:sz w:val="20"/>
                <w:szCs w:val="20"/>
                <w:u w:val="none"/>
                <w:lang w:val="en-US" w:eastAsia="zh-CN" w:bidi="ar"/>
              </w:rPr>
              <w:t>550</w:t>
            </w:r>
          </w:p>
        </w:tc>
      </w:tr>
      <w:tr w14:paraId="07B5AA9E">
        <w:tblPrEx>
          <w:tblCellMar>
            <w:top w:w="0" w:type="dxa"/>
            <w:left w:w="0" w:type="dxa"/>
            <w:bottom w:w="0" w:type="dxa"/>
            <w:right w:w="0" w:type="dxa"/>
          </w:tblCellMar>
        </w:tblPrEx>
        <w:trPr>
          <w:trHeight w:val="575" w:hRule="atLeast"/>
          <w:jc w:val="center"/>
        </w:trPr>
        <w:tc>
          <w:tcPr>
            <w:tcW w:w="183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CFE31D">
            <w:pPr>
              <w:spacing w:line="460" w:lineRule="exact"/>
              <w:jc w:val="center"/>
              <w:rPr>
                <w:rFonts w:ascii="宋体" w:hAnsi="宋体" w:eastAsia="宋体" w:cs="宋体"/>
                <w:b w:val="0"/>
                <w:bCs w:val="0"/>
                <w:color w:val="000000"/>
                <w:kern w:val="0"/>
                <w:szCs w:val="21"/>
              </w:rPr>
            </w:pP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999720">
            <w:pPr>
              <w:widowControl/>
              <w:spacing w:line="460" w:lineRule="exact"/>
              <w:jc w:val="center"/>
              <w:textAlignment w:val="center"/>
              <w:rPr>
                <w:rFonts w:hint="eastAsia" w:ascii="宋体" w:hAnsi="宋体" w:eastAsia="宋体" w:cs="宋体"/>
                <w:b w:val="0"/>
                <w:bCs w:val="0"/>
                <w:color w:val="000000"/>
                <w:kern w:val="0"/>
                <w:szCs w:val="21"/>
                <w:lang w:eastAsia="zh-CN"/>
              </w:rPr>
            </w:pPr>
            <w:r>
              <w:rPr>
                <w:rFonts w:hint="eastAsia" w:ascii="宋体" w:hAnsi="宋体" w:eastAsia="宋体" w:cs="宋体"/>
                <w:b w:val="0"/>
                <w:bCs w:val="0"/>
                <w:color w:val="000000"/>
                <w:kern w:val="0"/>
                <w:szCs w:val="21"/>
              </w:rPr>
              <w:t>双程</w:t>
            </w:r>
            <w:r>
              <w:rPr>
                <w:rFonts w:hint="eastAsia" w:ascii="宋体" w:hAnsi="宋体" w:eastAsia="宋体" w:cs="宋体"/>
                <w:b w:val="0"/>
                <w:bCs w:val="0"/>
                <w:color w:val="000000"/>
                <w:kern w:val="0"/>
                <w:szCs w:val="21"/>
                <w:lang w:eastAsia="zh-CN"/>
              </w:rPr>
              <w:t>（</w:t>
            </w:r>
            <w:r>
              <w:rPr>
                <w:rFonts w:hint="eastAsia" w:ascii="宋体" w:hAnsi="宋体" w:eastAsia="宋体" w:cs="宋体"/>
                <w:b w:val="0"/>
                <w:bCs w:val="0"/>
                <w:color w:val="000000"/>
                <w:kern w:val="0"/>
                <w:szCs w:val="21"/>
                <w:lang w:val="en-US" w:eastAsia="zh-CN"/>
              </w:rPr>
              <w:t>元</w:t>
            </w:r>
            <w:r>
              <w:rPr>
                <w:rFonts w:hint="eastAsia" w:ascii="宋体" w:hAnsi="宋体" w:eastAsia="宋体" w:cs="宋体"/>
                <w:b w:val="0"/>
                <w:bCs w:val="0"/>
                <w:color w:val="000000"/>
                <w:kern w:val="0"/>
                <w:szCs w:val="21"/>
                <w:lang w:eastAsia="zh-CN"/>
              </w:rPr>
              <w:t>）</w:t>
            </w:r>
          </w:p>
        </w:tc>
        <w:tc>
          <w:tcPr>
            <w:tcW w:w="12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881608">
            <w:pPr>
              <w:widowControl/>
              <w:spacing w:line="460" w:lineRule="exact"/>
              <w:jc w:val="center"/>
              <w:textAlignment w:val="center"/>
              <w:rPr>
                <w:rFonts w:ascii="宋体" w:hAnsi="宋体" w:eastAsia="宋体" w:cs="宋体"/>
                <w:b w:val="0"/>
                <w:bCs w:val="0"/>
                <w:color w:val="000000"/>
                <w:kern w:val="0"/>
                <w:szCs w:val="21"/>
              </w:rPr>
            </w:pPr>
            <w:r>
              <w:rPr>
                <w:rFonts w:hint="eastAsia" w:ascii="宋体" w:hAnsi="宋体" w:eastAsia="宋体" w:cs="宋体"/>
                <w:b w:val="0"/>
                <w:bCs w:val="0"/>
                <w:i w:val="0"/>
                <w:iCs w:val="0"/>
                <w:color w:val="000000"/>
                <w:kern w:val="0"/>
                <w:sz w:val="20"/>
                <w:szCs w:val="20"/>
                <w:u w:val="none"/>
                <w:lang w:val="en-US" w:eastAsia="zh-CN" w:bidi="ar"/>
              </w:rPr>
              <w:t>600</w:t>
            </w:r>
          </w:p>
        </w:tc>
        <w:tc>
          <w:tcPr>
            <w:tcW w:w="1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B9859">
            <w:pPr>
              <w:widowControl/>
              <w:spacing w:line="460" w:lineRule="exact"/>
              <w:jc w:val="center"/>
              <w:textAlignment w:val="center"/>
              <w:rPr>
                <w:rFonts w:ascii="宋体" w:hAnsi="宋体" w:eastAsia="宋体" w:cs="宋体"/>
                <w:b w:val="0"/>
                <w:bCs w:val="0"/>
                <w:color w:val="000000"/>
                <w:kern w:val="0"/>
                <w:szCs w:val="21"/>
              </w:rPr>
            </w:pPr>
            <w:r>
              <w:rPr>
                <w:rFonts w:hint="eastAsia" w:ascii="宋体" w:hAnsi="宋体" w:eastAsia="宋体" w:cs="宋体"/>
                <w:b w:val="0"/>
                <w:bCs w:val="0"/>
                <w:i w:val="0"/>
                <w:iCs w:val="0"/>
                <w:color w:val="000000"/>
                <w:kern w:val="0"/>
                <w:sz w:val="20"/>
                <w:szCs w:val="20"/>
                <w:u w:val="none"/>
                <w:lang w:val="en-US" w:eastAsia="zh-CN" w:bidi="ar"/>
              </w:rPr>
              <w:t>700</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0279FB">
            <w:pPr>
              <w:widowControl/>
              <w:spacing w:line="460" w:lineRule="exact"/>
              <w:jc w:val="center"/>
              <w:textAlignment w:val="center"/>
              <w:rPr>
                <w:rFonts w:ascii="宋体" w:hAnsi="宋体" w:eastAsia="宋体" w:cs="宋体"/>
                <w:b w:val="0"/>
                <w:bCs w:val="0"/>
                <w:color w:val="000000"/>
                <w:kern w:val="0"/>
                <w:szCs w:val="21"/>
              </w:rPr>
            </w:pPr>
            <w:r>
              <w:rPr>
                <w:rFonts w:hint="eastAsia" w:ascii="宋体" w:hAnsi="宋体" w:eastAsia="宋体" w:cs="宋体"/>
                <w:b w:val="0"/>
                <w:bCs w:val="0"/>
                <w:i w:val="0"/>
                <w:iCs w:val="0"/>
                <w:color w:val="000000"/>
                <w:kern w:val="0"/>
                <w:sz w:val="20"/>
                <w:szCs w:val="20"/>
                <w:u w:val="none"/>
                <w:lang w:val="en-US" w:eastAsia="zh-CN" w:bidi="ar"/>
              </w:rPr>
              <w:t>800</w:t>
            </w:r>
          </w:p>
        </w:tc>
        <w:tc>
          <w:tcPr>
            <w:tcW w:w="1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CD9B2">
            <w:pPr>
              <w:widowControl/>
              <w:spacing w:line="460" w:lineRule="exact"/>
              <w:jc w:val="center"/>
              <w:textAlignment w:val="center"/>
              <w:rPr>
                <w:rFonts w:ascii="宋体" w:hAnsi="宋体" w:eastAsia="宋体" w:cs="宋体"/>
                <w:b w:val="0"/>
                <w:bCs w:val="0"/>
                <w:color w:val="000000"/>
                <w:kern w:val="0"/>
                <w:szCs w:val="21"/>
              </w:rPr>
            </w:pPr>
            <w:r>
              <w:rPr>
                <w:rFonts w:hint="eastAsia" w:ascii="宋体" w:hAnsi="宋体" w:eastAsia="宋体" w:cs="宋体"/>
                <w:b w:val="0"/>
                <w:bCs w:val="0"/>
                <w:i w:val="0"/>
                <w:iCs w:val="0"/>
                <w:color w:val="000000"/>
                <w:kern w:val="0"/>
                <w:sz w:val="20"/>
                <w:szCs w:val="20"/>
                <w:u w:val="none"/>
                <w:lang w:val="en-US" w:eastAsia="zh-CN" w:bidi="ar"/>
              </w:rPr>
              <w:t>900</w:t>
            </w:r>
          </w:p>
        </w:tc>
      </w:tr>
      <w:tr w14:paraId="585B07F8">
        <w:tblPrEx>
          <w:tblCellMar>
            <w:top w:w="0" w:type="dxa"/>
            <w:left w:w="0" w:type="dxa"/>
            <w:bottom w:w="0" w:type="dxa"/>
            <w:right w:w="0" w:type="dxa"/>
          </w:tblCellMar>
        </w:tblPrEx>
        <w:trPr>
          <w:trHeight w:val="645"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7812DC">
            <w:pPr>
              <w:widowControl/>
              <w:spacing w:line="460" w:lineRule="exact"/>
              <w:jc w:val="center"/>
              <w:textAlignment w:val="center"/>
              <w:rPr>
                <w:rFonts w:hint="eastAsia" w:ascii="宋体" w:hAnsi="宋体" w:eastAsia="宋体" w:cs="宋体"/>
                <w:b w:val="0"/>
                <w:bCs w:val="0"/>
                <w:color w:val="000000"/>
                <w:kern w:val="0"/>
                <w:szCs w:val="21"/>
                <w:lang w:eastAsia="zh-CN"/>
              </w:rPr>
            </w:pPr>
            <w:r>
              <w:rPr>
                <w:rFonts w:hint="eastAsia" w:ascii="宋体" w:hAnsi="宋体" w:eastAsia="宋体" w:cs="宋体"/>
                <w:b w:val="0"/>
                <w:bCs w:val="0"/>
                <w:color w:val="000000"/>
                <w:kern w:val="0"/>
                <w:szCs w:val="21"/>
              </w:rPr>
              <w:t>其他地区（每公里单价）</w:t>
            </w:r>
            <w:r>
              <w:rPr>
                <w:rFonts w:hint="eastAsia" w:ascii="宋体" w:hAnsi="宋体" w:eastAsia="宋体" w:cs="宋体"/>
                <w:b w:val="0"/>
                <w:bCs w:val="0"/>
                <w:color w:val="000000"/>
                <w:kern w:val="0"/>
                <w:szCs w:val="21"/>
                <w:lang w:eastAsia="zh-CN"/>
              </w:rPr>
              <w:t>（</w:t>
            </w:r>
            <w:r>
              <w:rPr>
                <w:rFonts w:hint="eastAsia" w:ascii="宋体" w:hAnsi="宋体" w:eastAsia="宋体" w:cs="宋体"/>
                <w:b w:val="0"/>
                <w:bCs w:val="0"/>
                <w:color w:val="000000"/>
                <w:kern w:val="0"/>
                <w:szCs w:val="21"/>
                <w:lang w:val="en-US" w:eastAsia="zh-CN"/>
              </w:rPr>
              <w:t>元</w:t>
            </w:r>
            <w:r>
              <w:rPr>
                <w:rFonts w:hint="eastAsia" w:ascii="宋体" w:hAnsi="宋体" w:eastAsia="宋体" w:cs="宋体"/>
                <w:b w:val="0"/>
                <w:bCs w:val="0"/>
                <w:color w:val="000000"/>
                <w:kern w:val="0"/>
                <w:szCs w:val="21"/>
                <w:lang w:eastAsia="zh-CN"/>
              </w:rPr>
              <w:t>）</w:t>
            </w:r>
          </w:p>
        </w:tc>
        <w:tc>
          <w:tcPr>
            <w:tcW w:w="12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5423FA">
            <w:pPr>
              <w:widowControl/>
              <w:spacing w:line="460" w:lineRule="exact"/>
              <w:jc w:val="center"/>
              <w:textAlignment w:val="center"/>
              <w:rPr>
                <w:rFonts w:ascii="宋体" w:hAnsi="宋体" w:eastAsia="宋体" w:cs="宋体"/>
                <w:b w:val="0"/>
                <w:bCs w:val="0"/>
                <w:color w:val="000000"/>
                <w:kern w:val="0"/>
                <w:szCs w:val="21"/>
              </w:rPr>
            </w:pPr>
            <w:r>
              <w:rPr>
                <w:rFonts w:hint="eastAsia" w:ascii="宋体" w:hAnsi="宋体" w:eastAsia="宋体" w:cs="宋体"/>
                <w:b w:val="0"/>
                <w:bCs w:val="0"/>
                <w:i w:val="0"/>
                <w:iCs w:val="0"/>
                <w:color w:val="000000"/>
                <w:kern w:val="0"/>
                <w:sz w:val="20"/>
                <w:szCs w:val="20"/>
                <w:u w:val="none"/>
                <w:lang w:val="en-US" w:eastAsia="zh-CN" w:bidi="ar"/>
              </w:rPr>
              <w:t>6</w:t>
            </w:r>
          </w:p>
        </w:tc>
        <w:tc>
          <w:tcPr>
            <w:tcW w:w="1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EF362E">
            <w:pPr>
              <w:widowControl/>
              <w:spacing w:line="460" w:lineRule="exact"/>
              <w:jc w:val="center"/>
              <w:textAlignment w:val="center"/>
              <w:rPr>
                <w:rFonts w:ascii="宋体" w:hAnsi="宋体" w:eastAsia="宋体" w:cs="宋体"/>
                <w:b w:val="0"/>
                <w:bCs w:val="0"/>
                <w:color w:val="000000"/>
                <w:kern w:val="0"/>
                <w:szCs w:val="21"/>
              </w:rPr>
            </w:pPr>
            <w:r>
              <w:rPr>
                <w:rFonts w:hint="eastAsia" w:ascii="宋体" w:hAnsi="宋体" w:eastAsia="宋体" w:cs="宋体"/>
                <w:b w:val="0"/>
                <w:bCs w:val="0"/>
                <w:i w:val="0"/>
                <w:iCs w:val="0"/>
                <w:color w:val="000000"/>
                <w:kern w:val="0"/>
                <w:sz w:val="20"/>
                <w:szCs w:val="20"/>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D1214">
            <w:pPr>
              <w:widowControl/>
              <w:spacing w:line="460" w:lineRule="exact"/>
              <w:jc w:val="center"/>
              <w:textAlignment w:val="center"/>
              <w:rPr>
                <w:rFonts w:ascii="宋体" w:hAnsi="宋体" w:eastAsia="宋体" w:cs="宋体"/>
                <w:b w:val="0"/>
                <w:bCs w:val="0"/>
                <w:color w:val="000000"/>
                <w:kern w:val="0"/>
                <w:szCs w:val="21"/>
              </w:rPr>
            </w:pPr>
            <w:r>
              <w:rPr>
                <w:rFonts w:hint="eastAsia" w:ascii="宋体" w:hAnsi="宋体" w:eastAsia="宋体" w:cs="宋体"/>
                <w:b w:val="0"/>
                <w:bCs w:val="0"/>
                <w:i w:val="0"/>
                <w:iCs w:val="0"/>
                <w:color w:val="000000"/>
                <w:kern w:val="0"/>
                <w:sz w:val="20"/>
                <w:szCs w:val="20"/>
                <w:u w:val="none"/>
                <w:lang w:val="en-US" w:eastAsia="zh-CN" w:bidi="ar"/>
              </w:rPr>
              <w:t>9</w:t>
            </w:r>
          </w:p>
        </w:tc>
        <w:tc>
          <w:tcPr>
            <w:tcW w:w="1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51F977">
            <w:pPr>
              <w:widowControl/>
              <w:spacing w:line="460" w:lineRule="exact"/>
              <w:jc w:val="center"/>
              <w:textAlignment w:val="center"/>
              <w:rPr>
                <w:rFonts w:ascii="宋体" w:hAnsi="宋体" w:eastAsia="宋体" w:cs="宋体"/>
                <w:b w:val="0"/>
                <w:bCs w:val="0"/>
                <w:color w:val="000000"/>
                <w:kern w:val="0"/>
                <w:szCs w:val="21"/>
              </w:rPr>
            </w:pPr>
            <w:r>
              <w:rPr>
                <w:rFonts w:hint="eastAsia" w:ascii="宋体" w:hAnsi="宋体" w:eastAsia="宋体" w:cs="宋体"/>
                <w:b w:val="0"/>
                <w:bCs w:val="0"/>
                <w:i w:val="0"/>
                <w:iCs w:val="0"/>
                <w:color w:val="000000"/>
                <w:kern w:val="0"/>
                <w:sz w:val="20"/>
                <w:szCs w:val="20"/>
                <w:u w:val="none"/>
                <w:lang w:val="en-US" w:eastAsia="zh-CN" w:bidi="ar"/>
              </w:rPr>
              <w:t>11</w:t>
            </w:r>
          </w:p>
        </w:tc>
      </w:tr>
    </w:tbl>
    <w:p w14:paraId="7DC62C30">
      <w:pPr>
        <w:pStyle w:val="2"/>
        <w:widowControl w:val="0"/>
        <w:numPr>
          <w:ilvl w:val="0"/>
          <w:numId w:val="0"/>
        </w:numPr>
        <w:jc w:val="both"/>
      </w:pPr>
    </w:p>
    <w:p w14:paraId="5B8E1A7B">
      <w:pPr>
        <w:numPr>
          <w:ilvl w:val="0"/>
          <w:numId w:val="2"/>
        </w:numPr>
        <w:pBdr>
          <w:top w:val="none" w:color="000000" w:sz="0" w:space="0"/>
          <w:left w:val="none" w:color="000000" w:sz="0" w:space="0"/>
          <w:bottom w:val="none" w:color="000000" w:sz="0" w:space="0"/>
          <w:right w:val="none" w:color="000000" w:sz="0" w:space="0"/>
        </w:pBdr>
        <w:spacing w:before="0" w:after="0" w:line="360" w:lineRule="auto"/>
        <w:ind w:left="0" w:right="0" w:firstLine="482"/>
        <w:rPr>
          <w:rFonts w:ascii="宋体" w:hAnsi="宋体" w:eastAsia="宋体" w:cs="宋体"/>
          <w:b/>
          <w:color w:val="000000"/>
          <w:sz w:val="24"/>
        </w:rPr>
      </w:pPr>
      <w:r>
        <w:rPr>
          <w:rFonts w:ascii="宋体" w:hAnsi="宋体" w:eastAsia="宋体" w:cs="宋体"/>
          <w:b/>
          <w:color w:val="000000"/>
          <w:sz w:val="24"/>
        </w:rPr>
        <w:t>服务内容：</w:t>
      </w:r>
    </w:p>
    <w:p w14:paraId="0A8B1740">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4.1投标人提供的车辆须为有营运资质的客运车辆，车辆年限为2021年1月1日以后上牌的自有车辆，车况良好，车厢整洁卫生，空调、GPS等设备使用正常，符合国家相关法律、法规、规章规定的行驶、营运标准和规范，并通过车管部门检验合格。</w:t>
      </w:r>
    </w:p>
    <w:p w14:paraId="0237D781">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4.2投标人提供的车辆必须在政府主管部门认可的保险公司、按国家的相关规定投保各类险种；车内乘员险按车辆核定的正座数投保，每座赔偿限额不低于100万元。</w:t>
      </w:r>
    </w:p>
    <w:p w14:paraId="044D5692">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4.3投标人每部车随车配置驾驶员一名，须持有公安管理机关和交通运输管理部门签发的有效驾驶证和客运上岗证。司机若存在喝酒，伤病，情绪异常，服务态度差，不文明驾驶等不良情况时，采购人有权要求立即更换驾驶员，投标人应无条件配合。</w:t>
      </w:r>
    </w:p>
    <w:p w14:paraId="011EE77D">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4.4采购人将人数、时间、地点等乘车信息至少提前一天告知投标人，投标人将安排好的车牌号及驾驶员联系方式提前告知采购人。采购人如需调整目的地、时间或车型的，应至少提前一天通知投标人。如遇防疫、救援等紧急任务需要在短时间内安排出车的，投标人应全力配合采购人。</w:t>
      </w:r>
    </w:p>
    <w:p w14:paraId="00F0EAD3">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4.5投标人按照采购人通知的时间地点，指派车辆和司机负责接送，因司机迟到、送错地点、交通事故、违章肇事等原因引起的经济损失和法律责任由投标人承担。如司机出现迟到超过15分钟、拒载、送错地点、故意绕远路等严重影响采购人用车体验的情况，采购人有权拒付当次费用，合同期限内累计出现三次的，采购人有权无条件终止合同。</w:t>
      </w:r>
    </w:p>
    <w:p w14:paraId="4F31ABCE">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4.6投标人在接到车辆故障、交通事故等突发事件的通知后须在2小时内安排其他司机和备用车辆赶赴事发现场将乘客送回医院或继续执行运输任务。若备用车辆无法在2小时内抵达现场，乘客有权采取其他方式自行返回医院，采购人有权拒付当次费用，合同期限内累计出现三次的，采购人有权无条件终止合同。</w:t>
      </w:r>
    </w:p>
    <w:p w14:paraId="10C7C2E0">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4.7福州五城区同一天内相同地点的往返，无论时间间隔长短，每个来回均按一个双程计费。 </w:t>
      </w:r>
    </w:p>
    <w:p w14:paraId="7D22F507">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4.8如车辆无法在当天返回福州或需要提前抵达目的地，司机必须在外地过夜时，司机的用餐由采购人负责解决，司机的住宿根据实际情况由司机自行解决或采购人协调安排，住宿费用由投标人承担。                                                       </w:t>
      </w:r>
    </w:p>
    <w:p w14:paraId="194BB804">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4.9如投标人派出的车型大于采购人预约的车型，双方仍按照采购人预约的车型结算。</w:t>
      </w:r>
    </w:p>
    <w:p w14:paraId="7C1F9F62">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5、本项目签订合同期限为两年（2026年3月16日至2028年3月15日）。</w:t>
      </w:r>
    </w:p>
    <w:p w14:paraId="64A108A7">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6、本项目不接受联合体投标。</w:t>
      </w:r>
    </w:p>
    <w:p w14:paraId="19D27ADF">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jc w:val="center"/>
        <w:rPr>
          <w:sz w:val="21"/>
          <w:szCs w:val="21"/>
        </w:rPr>
      </w:pPr>
    </w:p>
    <w:p w14:paraId="6406B01C">
      <w:pPr>
        <w:keepNext w:val="0"/>
        <w:keepLines w:val="0"/>
        <w:pageBreakBefore w:val="0"/>
        <w:widowControl w:val="0"/>
        <w:tabs>
          <w:tab w:val="left" w:pos="900"/>
        </w:tabs>
        <w:kinsoku/>
        <w:wordWrap/>
        <w:overflowPunct/>
        <w:topLinePunct w:val="0"/>
        <w:autoSpaceDE/>
        <w:autoSpaceDN/>
        <w:bidi w:val="0"/>
        <w:spacing w:line="500" w:lineRule="exact"/>
        <w:jc w:val="center"/>
        <w:textAlignment w:val="auto"/>
        <w:rPr>
          <w:rFonts w:hint="eastAsia" w:ascii="宋体" w:hAnsi="宋体"/>
          <w:b/>
          <w:color w:val="auto"/>
          <w:spacing w:val="-12"/>
          <w:sz w:val="36"/>
          <w:szCs w:val="36"/>
        </w:rPr>
      </w:pPr>
    </w:p>
    <w:p w14:paraId="2A152EA6">
      <w:pPr>
        <w:keepNext w:val="0"/>
        <w:keepLines w:val="0"/>
        <w:pageBreakBefore w:val="0"/>
        <w:widowControl w:val="0"/>
        <w:tabs>
          <w:tab w:val="left" w:pos="900"/>
        </w:tabs>
        <w:kinsoku/>
        <w:wordWrap/>
        <w:overflowPunct/>
        <w:topLinePunct w:val="0"/>
        <w:autoSpaceDE/>
        <w:autoSpaceDN/>
        <w:bidi w:val="0"/>
        <w:spacing w:line="500" w:lineRule="exact"/>
        <w:jc w:val="center"/>
        <w:textAlignment w:val="auto"/>
        <w:rPr>
          <w:rFonts w:ascii="宋体" w:hAnsi="宋体"/>
          <w:b/>
          <w:color w:val="auto"/>
          <w:spacing w:val="-12"/>
          <w:sz w:val="36"/>
          <w:szCs w:val="36"/>
        </w:rPr>
      </w:pPr>
      <w:r>
        <w:rPr>
          <w:rFonts w:hint="eastAsia" w:ascii="宋体" w:hAnsi="宋体"/>
          <w:b/>
          <w:color w:val="auto"/>
          <w:spacing w:val="-12"/>
          <w:sz w:val="36"/>
          <w:szCs w:val="36"/>
        </w:rPr>
        <w:t>四、投标文件的要求</w:t>
      </w:r>
    </w:p>
    <w:p w14:paraId="68CE558D">
      <w:pPr>
        <w:keepNext w:val="0"/>
        <w:keepLines w:val="0"/>
        <w:pageBreakBefore w:val="0"/>
        <w:widowControl w:val="0"/>
        <w:tabs>
          <w:tab w:val="left" w:pos="900"/>
        </w:tabs>
        <w:kinsoku/>
        <w:wordWrap/>
        <w:overflowPunct/>
        <w:topLinePunct w:val="0"/>
        <w:autoSpaceDE/>
        <w:autoSpaceDN/>
        <w:bidi w:val="0"/>
        <w:spacing w:line="500" w:lineRule="exact"/>
        <w:jc w:val="center"/>
        <w:textAlignment w:val="auto"/>
        <w:rPr>
          <w:rFonts w:ascii="宋体" w:hAnsi="宋体"/>
          <w:b/>
          <w:color w:val="auto"/>
          <w:spacing w:val="-12"/>
          <w:sz w:val="24"/>
          <w:szCs w:val="24"/>
        </w:rPr>
      </w:pPr>
      <w:r>
        <w:rPr>
          <w:rFonts w:hint="eastAsia" w:ascii="宋体" w:hAnsi="宋体"/>
          <w:b/>
          <w:color w:val="auto"/>
          <w:sz w:val="24"/>
          <w:szCs w:val="24"/>
        </w:rPr>
        <w:t>（包含但不限于以下要求）</w:t>
      </w:r>
    </w:p>
    <w:p w14:paraId="25968D70">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firstLine="434" w:firstLineChars="200"/>
        <w:textAlignment w:val="auto"/>
        <w:rPr>
          <w:rFonts w:ascii="宋体" w:hAnsi="宋体"/>
          <w:b/>
          <w:color w:val="auto"/>
          <w:spacing w:val="-12"/>
          <w:sz w:val="24"/>
          <w:szCs w:val="24"/>
          <w:u w:val="single"/>
        </w:rPr>
      </w:pPr>
      <w:r>
        <w:rPr>
          <w:rFonts w:hint="eastAsia" w:ascii="宋体" w:hAnsi="宋体"/>
          <w:b/>
          <w:color w:val="auto"/>
          <w:spacing w:val="-12"/>
          <w:sz w:val="24"/>
          <w:szCs w:val="24"/>
          <w:u w:val="single"/>
          <w:lang w:eastAsia="zh-CN"/>
        </w:rPr>
        <w:t>供应商</w:t>
      </w:r>
      <w:r>
        <w:rPr>
          <w:rFonts w:hint="eastAsia" w:ascii="宋体" w:hAnsi="宋体"/>
          <w:b/>
          <w:color w:val="auto"/>
          <w:spacing w:val="-12"/>
          <w:sz w:val="24"/>
          <w:szCs w:val="24"/>
          <w:u w:val="single"/>
        </w:rPr>
        <w:t>投标文件为一正三副，同时必须满足以下要求，否则视为无效投标。</w:t>
      </w:r>
    </w:p>
    <w:p w14:paraId="7AA6C1B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1、报价表（附表1）；</w:t>
      </w:r>
    </w:p>
    <w:p w14:paraId="0AD79CE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2、供应商概况（写明每种车型数量，持证上岗司机数量）；</w:t>
      </w:r>
    </w:p>
    <w:p w14:paraId="0784454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3、营业执照复印件；</w:t>
      </w:r>
    </w:p>
    <w:p w14:paraId="1281BE70">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4、法定代表人授权委托书原件并加盖公章(供应商是法定代表人的无需提供)；</w:t>
      </w:r>
    </w:p>
    <w:p w14:paraId="1EE7245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5、法定代表人及投标代表的有效身份证复印件。</w:t>
      </w:r>
    </w:p>
    <w:p w14:paraId="07A06B80">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6、道路运输经营许可证复印件；</w:t>
      </w:r>
    </w:p>
    <w:p w14:paraId="75A4CC0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7、道路客运承运人责任险复印件。</w:t>
      </w:r>
    </w:p>
    <w:p w14:paraId="4A9E3C0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lang w:val="en-US" w:eastAsia="zh-CN"/>
        </w:rPr>
        <w:t>8、</w:t>
      </w:r>
      <w:r>
        <w:rPr>
          <w:rFonts w:hint="eastAsia" w:ascii="宋体" w:hAnsi="宋体" w:cs="宋体"/>
          <w:color w:val="000000"/>
          <w:kern w:val="0"/>
          <w:sz w:val="24"/>
        </w:rPr>
        <w:t>无违法记录的书面声明。</w:t>
      </w:r>
    </w:p>
    <w:p w14:paraId="077B5CA4">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ascii="宋体" w:hAnsi="宋体" w:cs="宋体"/>
          <w:b/>
          <w:bCs/>
          <w:color w:val="auto"/>
          <w:kern w:val="0"/>
          <w:sz w:val="24"/>
          <w:szCs w:val="24"/>
        </w:rPr>
      </w:pPr>
      <w:r>
        <w:rPr>
          <w:rFonts w:hint="eastAsia" w:ascii="宋体" w:hAnsi="宋体" w:cs="宋体"/>
          <w:b/>
          <w:bCs/>
          <w:color w:val="auto"/>
          <w:kern w:val="0"/>
          <w:sz w:val="24"/>
          <w:szCs w:val="24"/>
          <w:lang w:val="en-US" w:eastAsia="zh-CN"/>
        </w:rPr>
        <w:t>9、</w:t>
      </w:r>
      <w:r>
        <w:rPr>
          <w:rFonts w:hint="eastAsia" w:ascii="宋体" w:hAnsi="宋体" w:cs="宋体"/>
          <w:b/>
          <w:bCs/>
          <w:color w:val="auto"/>
          <w:kern w:val="0"/>
          <w:sz w:val="24"/>
          <w:szCs w:val="24"/>
          <w:lang w:eastAsia="zh-CN"/>
        </w:rPr>
        <w:t>供应商</w:t>
      </w:r>
      <w:r>
        <w:rPr>
          <w:rFonts w:hint="eastAsia" w:ascii="宋体" w:hAnsi="宋体" w:cs="宋体"/>
          <w:b/>
          <w:bCs/>
          <w:color w:val="auto"/>
          <w:kern w:val="0"/>
          <w:sz w:val="24"/>
          <w:szCs w:val="24"/>
        </w:rPr>
        <w:t>注意事项：</w:t>
      </w:r>
    </w:p>
    <w:p w14:paraId="421B4985">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ascii="宋体" w:hAnsi="宋体"/>
          <w:b/>
          <w:bCs w:val="0"/>
          <w:color w:val="auto"/>
          <w:sz w:val="24"/>
          <w:szCs w:val="24"/>
        </w:rPr>
      </w:pPr>
      <w:r>
        <w:rPr>
          <w:rFonts w:hint="eastAsia" w:ascii="宋体" w:hAnsi="宋体"/>
          <w:b/>
          <w:bCs w:val="0"/>
          <w:color w:val="auto"/>
          <w:sz w:val="24"/>
          <w:szCs w:val="24"/>
        </w:rPr>
        <w:t>（1）以上内容没有规定格式的请各</w:t>
      </w:r>
      <w:r>
        <w:rPr>
          <w:rFonts w:hint="eastAsia" w:ascii="宋体" w:hAnsi="宋体"/>
          <w:b/>
          <w:bCs w:val="0"/>
          <w:color w:val="auto"/>
          <w:sz w:val="24"/>
          <w:szCs w:val="24"/>
          <w:lang w:eastAsia="zh-CN"/>
        </w:rPr>
        <w:t>供应商</w:t>
      </w:r>
      <w:r>
        <w:rPr>
          <w:rFonts w:hint="eastAsia" w:ascii="宋体" w:hAnsi="宋体"/>
          <w:b/>
          <w:bCs w:val="0"/>
          <w:color w:val="auto"/>
          <w:sz w:val="24"/>
          <w:szCs w:val="24"/>
        </w:rPr>
        <w:t>自行设计格式编写；</w:t>
      </w:r>
    </w:p>
    <w:p w14:paraId="17EC0FC5">
      <w:pPr>
        <w:keepNext w:val="0"/>
        <w:keepLines w:val="0"/>
        <w:pageBreakBefore w:val="0"/>
        <w:widowControl w:val="0"/>
        <w:kinsoku/>
        <w:wordWrap/>
        <w:overflowPunct/>
        <w:topLinePunct w:val="0"/>
        <w:autoSpaceDE/>
        <w:autoSpaceDN/>
        <w:bidi w:val="0"/>
        <w:spacing w:line="460" w:lineRule="exact"/>
        <w:ind w:firstLine="482" w:firstLineChars="200"/>
        <w:textAlignment w:val="auto"/>
        <w:outlineLvl w:val="0"/>
        <w:rPr>
          <w:rFonts w:hint="eastAsia" w:ascii="宋体" w:hAnsi="宋体" w:cs="宋体"/>
          <w:b/>
          <w:bCs w:val="0"/>
          <w:color w:val="auto"/>
          <w:kern w:val="0"/>
          <w:sz w:val="24"/>
          <w:szCs w:val="24"/>
        </w:rPr>
      </w:pPr>
      <w:r>
        <w:rPr>
          <w:rFonts w:hint="eastAsia" w:ascii="宋体" w:hAnsi="宋体"/>
          <w:b/>
          <w:bCs w:val="0"/>
          <w:color w:val="auto"/>
          <w:sz w:val="24"/>
          <w:szCs w:val="24"/>
        </w:rPr>
        <w:t>（2）</w:t>
      </w:r>
      <w:r>
        <w:rPr>
          <w:rFonts w:hint="eastAsia" w:ascii="宋体" w:hAnsi="宋体"/>
          <w:b/>
          <w:bCs w:val="0"/>
          <w:color w:val="auto"/>
          <w:sz w:val="24"/>
          <w:szCs w:val="24"/>
          <w:u w:val="single"/>
        </w:rPr>
        <w:t>正本的每一页</w:t>
      </w:r>
      <w:r>
        <w:rPr>
          <w:rFonts w:hint="eastAsia" w:ascii="宋体" w:hAnsi="宋体"/>
          <w:b/>
          <w:bCs w:val="0"/>
          <w:color w:val="auto"/>
          <w:sz w:val="24"/>
          <w:szCs w:val="24"/>
        </w:rPr>
        <w:t>须加盖公章</w:t>
      </w:r>
      <w:r>
        <w:rPr>
          <w:rFonts w:hint="eastAsia" w:ascii="宋体" w:hAnsi="宋体" w:cs="宋体"/>
          <w:b/>
          <w:bCs w:val="0"/>
          <w:color w:val="auto"/>
          <w:kern w:val="0"/>
          <w:sz w:val="24"/>
          <w:szCs w:val="24"/>
        </w:rPr>
        <w:t>，以上材料须</w:t>
      </w:r>
      <w:r>
        <w:rPr>
          <w:rFonts w:hint="eastAsia" w:ascii="宋体" w:hAnsi="宋体"/>
          <w:b/>
          <w:bCs w:val="0"/>
          <w:color w:val="auto"/>
          <w:sz w:val="24"/>
          <w:szCs w:val="24"/>
          <w:u w:val="single"/>
        </w:rPr>
        <w:t>装订成册并密封</w:t>
      </w:r>
      <w:r>
        <w:rPr>
          <w:rFonts w:hint="eastAsia" w:ascii="宋体" w:hAnsi="宋体" w:cs="宋体"/>
          <w:b/>
          <w:bCs w:val="0"/>
          <w:color w:val="auto"/>
          <w:kern w:val="0"/>
          <w:sz w:val="24"/>
          <w:szCs w:val="24"/>
        </w:rPr>
        <w:t>。</w:t>
      </w:r>
    </w:p>
    <w:p w14:paraId="0B5D3806">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1C202EC5">
      <w:pPr>
        <w:pBdr>
          <w:top w:val="none" w:color="000000" w:sz="0" w:space="0"/>
          <w:left w:val="none" w:color="000000" w:sz="0" w:space="0"/>
          <w:bottom w:val="none" w:color="000000" w:sz="0" w:space="0"/>
          <w:right w:val="none" w:color="000000" w:sz="0" w:space="0"/>
        </w:pBdr>
        <w:spacing w:before="0" w:after="0" w:line="360" w:lineRule="auto"/>
        <w:jc w:val="center"/>
        <w:rPr>
          <w:rFonts w:hint="eastAsia" w:ascii="宋体" w:hAnsi="宋体" w:eastAsia="宋体" w:cs="宋体"/>
          <w:b w:val="0"/>
          <w:bCs/>
          <w:color w:val="000000"/>
          <w:spacing w:val="-12"/>
          <w:sz w:val="21"/>
          <w:szCs w:val="21"/>
          <w:lang w:val="en-US" w:eastAsia="zh-CN"/>
        </w:rPr>
      </w:pPr>
      <w:r>
        <w:rPr>
          <w:rFonts w:ascii="宋体" w:hAnsi="宋体" w:eastAsia="宋体" w:cs="宋体"/>
          <w:b/>
          <w:color w:val="000000"/>
          <w:spacing w:val="-12"/>
          <w:sz w:val="36"/>
        </w:rPr>
        <w:t>五、报价表</w:t>
      </w:r>
      <w:r>
        <w:rPr>
          <w:rFonts w:hint="eastAsia" w:ascii="宋体" w:hAnsi="宋体" w:eastAsia="宋体" w:cs="宋体"/>
          <w:b/>
          <w:color w:val="000000"/>
          <w:spacing w:val="-12"/>
          <w:sz w:val="36"/>
          <w:lang w:val="en-US" w:eastAsia="zh-CN"/>
        </w:rPr>
        <w:t xml:space="preserve">             </w:t>
      </w:r>
      <w:r>
        <w:rPr>
          <w:rFonts w:hint="eastAsia" w:ascii="宋体" w:hAnsi="宋体" w:eastAsia="宋体" w:cs="宋体"/>
          <w:b w:val="0"/>
          <w:bCs/>
          <w:color w:val="000000"/>
          <w:spacing w:val="-12"/>
          <w:sz w:val="21"/>
          <w:szCs w:val="21"/>
          <w:lang w:val="en-US" w:eastAsia="zh-CN"/>
        </w:rPr>
        <w:t xml:space="preserve">     </w:t>
      </w:r>
    </w:p>
    <w:p w14:paraId="3577AF31">
      <w:pPr>
        <w:pBdr>
          <w:top w:val="none" w:color="000000" w:sz="0" w:space="0"/>
          <w:left w:val="none" w:color="000000" w:sz="0" w:space="0"/>
          <w:bottom w:val="none" w:color="000000" w:sz="0" w:space="0"/>
          <w:right w:val="none" w:color="000000" w:sz="0" w:space="0"/>
        </w:pBdr>
        <w:spacing w:before="0" w:after="0" w:line="360" w:lineRule="auto"/>
        <w:jc w:val="right"/>
        <w:rPr>
          <w:rFonts w:hint="default" w:eastAsia="宋体"/>
          <w:lang w:val="en-US" w:eastAsia="zh-CN"/>
        </w:rPr>
      </w:pPr>
      <w:r>
        <w:rPr>
          <w:rFonts w:hint="eastAsia" w:ascii="宋体" w:hAnsi="宋体" w:eastAsia="宋体" w:cs="宋体"/>
          <w:b w:val="0"/>
          <w:bCs/>
          <w:color w:val="000000"/>
          <w:spacing w:val="-12"/>
          <w:sz w:val="21"/>
          <w:szCs w:val="21"/>
          <w:lang w:val="en-US" w:eastAsia="zh-CN"/>
        </w:rPr>
        <w:t xml:space="preserve">               </w:t>
      </w:r>
      <w:r>
        <w:rPr>
          <w:rFonts w:hint="eastAsia" w:ascii="宋体" w:hAnsi="宋体" w:eastAsia="宋体" w:cs="宋体"/>
          <w:b w:val="0"/>
          <w:bCs/>
          <w:color w:val="000000"/>
          <w:spacing w:val="-12"/>
          <w:sz w:val="24"/>
          <w:szCs w:val="24"/>
          <w:lang w:val="en-US" w:eastAsia="zh-CN"/>
        </w:rPr>
        <w:t xml:space="preserve">       单位：（元）</w:t>
      </w:r>
    </w:p>
    <w:tbl>
      <w:tblPr>
        <w:tblStyle w:val="29"/>
        <w:tblW w:w="10299" w:type="dxa"/>
        <w:jc w:val="center"/>
        <w:tblLayout w:type="fixed"/>
        <w:tblCellMar>
          <w:top w:w="0" w:type="dxa"/>
          <w:left w:w="0" w:type="dxa"/>
          <w:bottom w:w="0" w:type="dxa"/>
          <w:right w:w="0" w:type="dxa"/>
        </w:tblCellMar>
      </w:tblPr>
      <w:tblGrid>
        <w:gridCol w:w="1788"/>
        <w:gridCol w:w="921"/>
        <w:gridCol w:w="1188"/>
        <w:gridCol w:w="1764"/>
        <w:gridCol w:w="1836"/>
        <w:gridCol w:w="1524"/>
        <w:gridCol w:w="1278"/>
      </w:tblGrid>
      <w:tr w14:paraId="5C8C97F2">
        <w:tblPrEx>
          <w:tblCellMar>
            <w:top w:w="0" w:type="dxa"/>
            <w:left w:w="0" w:type="dxa"/>
            <w:bottom w:w="0" w:type="dxa"/>
            <w:right w:w="0" w:type="dxa"/>
          </w:tblCellMar>
        </w:tblPrEx>
        <w:trPr>
          <w:trHeight w:val="877" w:hRule="atLeast"/>
          <w:jc w:val="center"/>
        </w:trPr>
        <w:tc>
          <w:tcPr>
            <w:tcW w:w="2709" w:type="dxa"/>
            <w:gridSpan w:val="2"/>
            <w:tcBorders>
              <w:top w:val="single" w:color="000000" w:sz="4" w:space="0"/>
              <w:left w:val="single" w:color="000000" w:sz="4" w:space="0"/>
              <w:bottom w:val="single" w:color="000000" w:sz="4" w:space="0"/>
              <w:right w:val="single" w:color="000000" w:sz="4" w:space="0"/>
              <w:tl2br w:val="single" w:color="000000" w:sz="4" w:space="0"/>
            </w:tcBorders>
            <w:noWrap/>
            <w:tcMar>
              <w:top w:w="15" w:type="dxa"/>
              <w:left w:w="15" w:type="dxa"/>
              <w:right w:w="15" w:type="dxa"/>
            </w:tcMar>
            <w:vAlign w:val="center"/>
          </w:tcPr>
          <w:p w14:paraId="4AF61914">
            <w:pPr>
              <w:widowControl/>
              <w:spacing w:line="46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车型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   地点</w:t>
            </w:r>
          </w:p>
        </w:tc>
        <w:tc>
          <w:tcPr>
            <w:tcW w:w="1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08F7CB">
            <w:pPr>
              <w:widowControl/>
              <w:spacing w:line="460" w:lineRule="exact"/>
              <w:jc w:val="center"/>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30座以下</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100B27">
            <w:pPr>
              <w:widowControl/>
              <w:spacing w:line="46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30座（含）-40座</w:t>
            </w:r>
          </w:p>
        </w:tc>
        <w:tc>
          <w:tcPr>
            <w:tcW w:w="1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B4B287">
            <w:pPr>
              <w:widowControl/>
              <w:spacing w:line="46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40座（含）-50座</w:t>
            </w:r>
          </w:p>
        </w:tc>
        <w:tc>
          <w:tcPr>
            <w:tcW w:w="1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837499">
            <w:pPr>
              <w:widowControl/>
              <w:spacing w:line="46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50座（含）以上</w:t>
            </w:r>
          </w:p>
        </w:tc>
        <w:tc>
          <w:tcPr>
            <w:tcW w:w="12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7E1F42">
            <w:pPr>
              <w:widowControl/>
              <w:spacing w:line="460" w:lineRule="exact"/>
              <w:jc w:val="center"/>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合计金额（元）</w:t>
            </w:r>
          </w:p>
        </w:tc>
      </w:tr>
      <w:tr w14:paraId="4167E0E9">
        <w:tblPrEx>
          <w:tblCellMar>
            <w:top w:w="0" w:type="dxa"/>
            <w:left w:w="0" w:type="dxa"/>
            <w:bottom w:w="0" w:type="dxa"/>
            <w:right w:w="0" w:type="dxa"/>
          </w:tblCellMar>
        </w:tblPrEx>
        <w:trPr>
          <w:trHeight w:val="486" w:hRule="atLeast"/>
          <w:jc w:val="center"/>
        </w:trPr>
        <w:tc>
          <w:tcPr>
            <w:tcW w:w="178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C59174">
            <w:pPr>
              <w:widowControl/>
              <w:spacing w:line="46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福州五城区、闽侯大学城（包干价）</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FA7DF5">
            <w:pPr>
              <w:widowControl/>
              <w:spacing w:line="460" w:lineRule="exact"/>
              <w:jc w:val="center"/>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单程</w:t>
            </w:r>
          </w:p>
        </w:tc>
        <w:tc>
          <w:tcPr>
            <w:tcW w:w="1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3DEB7">
            <w:pPr>
              <w:widowControl/>
              <w:spacing w:line="460" w:lineRule="exact"/>
              <w:jc w:val="center"/>
              <w:textAlignment w:val="center"/>
              <w:rPr>
                <w:rFonts w:ascii="宋体" w:hAnsi="宋体" w:eastAsia="宋体" w:cs="宋体"/>
                <w:color w:val="000000"/>
                <w:kern w:val="0"/>
                <w:szCs w:val="21"/>
              </w:rPr>
            </w:pP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CEFCC1">
            <w:pPr>
              <w:widowControl/>
              <w:spacing w:line="460" w:lineRule="exact"/>
              <w:jc w:val="center"/>
              <w:textAlignment w:val="center"/>
              <w:rPr>
                <w:rFonts w:ascii="宋体" w:hAnsi="宋体" w:eastAsia="宋体" w:cs="宋体"/>
                <w:color w:val="000000"/>
                <w:kern w:val="0"/>
                <w:szCs w:val="21"/>
              </w:rPr>
            </w:pPr>
          </w:p>
        </w:tc>
        <w:tc>
          <w:tcPr>
            <w:tcW w:w="1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27B750">
            <w:pPr>
              <w:widowControl/>
              <w:spacing w:line="460" w:lineRule="exact"/>
              <w:jc w:val="center"/>
              <w:textAlignment w:val="center"/>
              <w:rPr>
                <w:rFonts w:ascii="宋体" w:hAnsi="宋体" w:eastAsia="宋体" w:cs="宋体"/>
                <w:color w:val="000000"/>
                <w:kern w:val="0"/>
                <w:szCs w:val="21"/>
              </w:rPr>
            </w:pPr>
          </w:p>
        </w:tc>
        <w:tc>
          <w:tcPr>
            <w:tcW w:w="1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FF3223">
            <w:pPr>
              <w:widowControl/>
              <w:spacing w:line="460" w:lineRule="exact"/>
              <w:jc w:val="center"/>
              <w:textAlignment w:val="center"/>
              <w:rPr>
                <w:rFonts w:ascii="宋体" w:hAnsi="宋体" w:eastAsia="宋体" w:cs="宋体"/>
                <w:color w:val="000000"/>
                <w:kern w:val="0"/>
                <w:szCs w:val="21"/>
              </w:rPr>
            </w:pPr>
          </w:p>
        </w:tc>
        <w:tc>
          <w:tcPr>
            <w:tcW w:w="12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286519">
            <w:pPr>
              <w:widowControl/>
              <w:spacing w:line="460" w:lineRule="exact"/>
              <w:jc w:val="center"/>
              <w:textAlignment w:val="center"/>
              <w:rPr>
                <w:rFonts w:ascii="宋体" w:hAnsi="宋体" w:eastAsia="宋体" w:cs="宋体"/>
                <w:color w:val="000000"/>
                <w:kern w:val="0"/>
                <w:szCs w:val="21"/>
              </w:rPr>
            </w:pPr>
          </w:p>
        </w:tc>
      </w:tr>
      <w:tr w14:paraId="23AFFC2F">
        <w:tblPrEx>
          <w:tblCellMar>
            <w:top w:w="0" w:type="dxa"/>
            <w:left w:w="0" w:type="dxa"/>
            <w:bottom w:w="0" w:type="dxa"/>
            <w:right w:w="0" w:type="dxa"/>
          </w:tblCellMar>
        </w:tblPrEx>
        <w:trPr>
          <w:trHeight w:val="544" w:hRule="atLeast"/>
          <w:jc w:val="center"/>
        </w:trPr>
        <w:tc>
          <w:tcPr>
            <w:tcW w:w="17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8FD31B">
            <w:pPr>
              <w:spacing w:line="460" w:lineRule="exact"/>
              <w:jc w:val="center"/>
              <w:rPr>
                <w:rFonts w:ascii="宋体" w:hAnsi="宋体" w:eastAsia="宋体" w:cs="宋体"/>
                <w:color w:val="000000"/>
                <w:kern w:val="0"/>
                <w:szCs w:val="21"/>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CAA8B5">
            <w:pPr>
              <w:widowControl/>
              <w:spacing w:line="46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双程</w:t>
            </w:r>
          </w:p>
        </w:tc>
        <w:tc>
          <w:tcPr>
            <w:tcW w:w="1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AEF55D">
            <w:pPr>
              <w:widowControl/>
              <w:spacing w:line="460" w:lineRule="exact"/>
              <w:jc w:val="center"/>
              <w:textAlignment w:val="center"/>
              <w:rPr>
                <w:rFonts w:ascii="宋体" w:hAnsi="宋体" w:eastAsia="宋体" w:cs="宋体"/>
                <w:color w:val="000000"/>
                <w:kern w:val="0"/>
                <w:szCs w:val="21"/>
              </w:rPr>
            </w:pP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33F7D2">
            <w:pPr>
              <w:widowControl/>
              <w:spacing w:line="460" w:lineRule="exact"/>
              <w:jc w:val="center"/>
              <w:textAlignment w:val="center"/>
              <w:rPr>
                <w:rFonts w:ascii="宋体" w:hAnsi="宋体" w:eastAsia="宋体" w:cs="宋体"/>
                <w:color w:val="000000"/>
                <w:kern w:val="0"/>
                <w:szCs w:val="21"/>
              </w:rPr>
            </w:pPr>
          </w:p>
        </w:tc>
        <w:tc>
          <w:tcPr>
            <w:tcW w:w="1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D408B6">
            <w:pPr>
              <w:widowControl/>
              <w:spacing w:line="460" w:lineRule="exact"/>
              <w:jc w:val="center"/>
              <w:textAlignment w:val="center"/>
              <w:rPr>
                <w:rFonts w:ascii="宋体" w:hAnsi="宋体" w:eastAsia="宋体" w:cs="宋体"/>
                <w:color w:val="000000"/>
                <w:kern w:val="0"/>
                <w:szCs w:val="21"/>
              </w:rPr>
            </w:pPr>
          </w:p>
        </w:tc>
        <w:tc>
          <w:tcPr>
            <w:tcW w:w="1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FE071E">
            <w:pPr>
              <w:widowControl/>
              <w:spacing w:line="460" w:lineRule="exact"/>
              <w:jc w:val="center"/>
              <w:textAlignment w:val="center"/>
              <w:rPr>
                <w:rFonts w:ascii="宋体" w:hAnsi="宋体" w:eastAsia="宋体" w:cs="宋体"/>
                <w:color w:val="000000"/>
                <w:kern w:val="0"/>
                <w:szCs w:val="21"/>
              </w:rPr>
            </w:pPr>
          </w:p>
        </w:tc>
        <w:tc>
          <w:tcPr>
            <w:tcW w:w="12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57A664">
            <w:pPr>
              <w:widowControl/>
              <w:spacing w:line="460" w:lineRule="exact"/>
              <w:jc w:val="center"/>
              <w:textAlignment w:val="center"/>
              <w:rPr>
                <w:rFonts w:ascii="宋体" w:hAnsi="宋体" w:eastAsia="宋体" w:cs="宋体"/>
                <w:color w:val="000000"/>
                <w:kern w:val="0"/>
                <w:szCs w:val="21"/>
              </w:rPr>
            </w:pPr>
          </w:p>
        </w:tc>
      </w:tr>
      <w:tr w14:paraId="2C0FDFB5">
        <w:tblPrEx>
          <w:tblCellMar>
            <w:top w:w="0" w:type="dxa"/>
            <w:left w:w="0" w:type="dxa"/>
            <w:bottom w:w="0" w:type="dxa"/>
            <w:right w:w="0" w:type="dxa"/>
          </w:tblCellMar>
        </w:tblPrEx>
        <w:trPr>
          <w:trHeight w:val="422" w:hRule="atLeast"/>
          <w:jc w:val="center"/>
        </w:trPr>
        <w:tc>
          <w:tcPr>
            <w:tcW w:w="27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4A6FC7">
            <w:pPr>
              <w:widowControl/>
              <w:spacing w:line="46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其他地区（每公里单价）</w:t>
            </w:r>
          </w:p>
        </w:tc>
        <w:tc>
          <w:tcPr>
            <w:tcW w:w="1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7568BD">
            <w:pPr>
              <w:widowControl/>
              <w:spacing w:line="460" w:lineRule="exact"/>
              <w:jc w:val="center"/>
              <w:textAlignment w:val="center"/>
              <w:rPr>
                <w:rFonts w:ascii="宋体" w:hAnsi="宋体" w:eastAsia="宋体" w:cs="宋体"/>
                <w:color w:val="000000"/>
                <w:kern w:val="0"/>
                <w:szCs w:val="21"/>
              </w:rPr>
            </w:pP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EF196B">
            <w:pPr>
              <w:widowControl/>
              <w:spacing w:line="460" w:lineRule="exact"/>
              <w:jc w:val="center"/>
              <w:textAlignment w:val="center"/>
              <w:rPr>
                <w:rFonts w:ascii="宋体" w:hAnsi="宋体" w:eastAsia="宋体" w:cs="宋体"/>
                <w:color w:val="000000"/>
                <w:kern w:val="0"/>
                <w:szCs w:val="21"/>
              </w:rPr>
            </w:pPr>
          </w:p>
        </w:tc>
        <w:tc>
          <w:tcPr>
            <w:tcW w:w="1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21C9E0">
            <w:pPr>
              <w:widowControl/>
              <w:spacing w:line="460" w:lineRule="exact"/>
              <w:jc w:val="center"/>
              <w:textAlignment w:val="center"/>
              <w:rPr>
                <w:rFonts w:ascii="宋体" w:hAnsi="宋体" w:eastAsia="宋体" w:cs="宋体"/>
                <w:color w:val="000000"/>
                <w:kern w:val="0"/>
                <w:szCs w:val="21"/>
              </w:rPr>
            </w:pPr>
          </w:p>
        </w:tc>
        <w:tc>
          <w:tcPr>
            <w:tcW w:w="1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ED387">
            <w:pPr>
              <w:widowControl/>
              <w:spacing w:line="460" w:lineRule="exact"/>
              <w:jc w:val="center"/>
              <w:textAlignment w:val="center"/>
              <w:rPr>
                <w:rFonts w:ascii="宋体" w:hAnsi="宋体" w:eastAsia="宋体" w:cs="宋体"/>
                <w:color w:val="000000"/>
                <w:kern w:val="0"/>
                <w:szCs w:val="21"/>
              </w:rPr>
            </w:pPr>
          </w:p>
        </w:tc>
        <w:tc>
          <w:tcPr>
            <w:tcW w:w="12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B91A36">
            <w:pPr>
              <w:widowControl/>
              <w:spacing w:line="460" w:lineRule="exact"/>
              <w:jc w:val="center"/>
              <w:textAlignment w:val="center"/>
              <w:rPr>
                <w:rFonts w:ascii="宋体" w:hAnsi="宋体" w:eastAsia="宋体" w:cs="宋体"/>
                <w:color w:val="000000"/>
                <w:kern w:val="0"/>
                <w:szCs w:val="21"/>
              </w:rPr>
            </w:pPr>
          </w:p>
        </w:tc>
      </w:tr>
      <w:tr w14:paraId="4E3ABFEF">
        <w:tblPrEx>
          <w:tblCellMar>
            <w:top w:w="0" w:type="dxa"/>
            <w:left w:w="0" w:type="dxa"/>
            <w:bottom w:w="0" w:type="dxa"/>
            <w:right w:w="0" w:type="dxa"/>
          </w:tblCellMar>
        </w:tblPrEx>
        <w:trPr>
          <w:trHeight w:val="880" w:hRule="atLeast"/>
          <w:jc w:val="center"/>
        </w:trPr>
        <w:tc>
          <w:tcPr>
            <w:tcW w:w="10299"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2CF1F0">
            <w:pPr>
              <w:widowControl/>
              <w:spacing w:line="240" w:lineRule="auto"/>
              <w:jc w:val="left"/>
              <w:textAlignment w:val="center"/>
              <w:rPr>
                <w:rFonts w:ascii="宋体" w:hAnsi="宋体" w:eastAsia="宋体" w:cs="宋体"/>
              </w:rPr>
            </w:pPr>
            <w:r>
              <w:rPr>
                <w:rFonts w:hint="eastAsia" w:ascii="宋体" w:hAnsi="宋体" w:eastAsia="宋体" w:cs="宋体"/>
              </w:rPr>
              <w:t>说明：</w:t>
            </w:r>
          </w:p>
          <w:p w14:paraId="30CAE8B4">
            <w:pPr>
              <w:widowControl/>
              <w:spacing w:line="240" w:lineRule="auto"/>
              <w:jc w:val="left"/>
              <w:textAlignment w:val="center"/>
              <w:rPr>
                <w:rFonts w:ascii="宋体" w:hAnsi="宋体" w:eastAsia="宋体" w:cs="宋体"/>
              </w:rPr>
            </w:pPr>
            <w:r>
              <w:rPr>
                <w:rFonts w:hint="eastAsia" w:ascii="宋体" w:hAnsi="宋体" w:eastAsia="宋体" w:cs="宋体"/>
              </w:rPr>
              <w:t>1.以上报价包含发票税费、油费、司机劳务费；</w:t>
            </w:r>
            <w:r>
              <w:rPr>
                <w:rFonts w:hint="eastAsia" w:ascii="宋体" w:hAnsi="宋体" w:eastAsia="宋体" w:cs="宋体"/>
              </w:rPr>
              <w:br w:type="textWrapping"/>
            </w:r>
            <w:r>
              <w:rPr>
                <w:rFonts w:hint="eastAsia" w:ascii="宋体" w:hAnsi="宋体" w:eastAsia="宋体" w:cs="宋体"/>
              </w:rPr>
              <w:t>2.车型座位数包含驾驶座；</w:t>
            </w:r>
          </w:p>
          <w:p w14:paraId="11576837">
            <w:pPr>
              <w:widowControl/>
              <w:spacing w:line="240" w:lineRule="auto"/>
              <w:jc w:val="left"/>
              <w:textAlignment w:val="center"/>
              <w:rPr>
                <w:rFonts w:ascii="宋体" w:hAnsi="宋体" w:eastAsia="宋体" w:cs="宋体"/>
              </w:rPr>
            </w:pPr>
            <w:r>
              <w:rPr>
                <w:rFonts w:hint="eastAsia" w:ascii="宋体" w:hAnsi="宋体" w:eastAsia="宋体" w:cs="宋体"/>
              </w:rPr>
              <w:t>3.福州五城区指鼓楼、台江、晋安、仓山、马尾区，长乐区归属其他地区，闽侯大学城指闽侯县上街镇及乌龙江西岸周边地区；</w:t>
            </w:r>
          </w:p>
          <w:p w14:paraId="773A8A07">
            <w:pPr>
              <w:widowControl/>
              <w:spacing w:line="240" w:lineRule="auto"/>
              <w:jc w:val="left"/>
              <w:textAlignment w:val="center"/>
              <w:rPr>
                <w:rFonts w:hint="eastAsia" w:ascii="宋体" w:hAnsi="宋体" w:eastAsia="宋体" w:cs="宋体"/>
              </w:rPr>
            </w:pPr>
            <w:r>
              <w:rPr>
                <w:rFonts w:hint="eastAsia" w:ascii="宋体" w:hAnsi="宋体" w:eastAsia="宋体" w:cs="宋体"/>
              </w:rPr>
              <w:t>4.福州五城区及闽侯大学城按单双程包干价计，其余地区按每公里单价计，高速费、过桥费、停车费另计；</w:t>
            </w:r>
          </w:p>
        </w:tc>
      </w:tr>
    </w:tbl>
    <w:p w14:paraId="3003321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0576800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4F6168D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pPr>
      <w:r>
        <w:rPr>
          <w:rFonts w:ascii="宋体" w:hAnsi="宋体" w:eastAsia="宋体" w:cs="宋体"/>
          <w:b/>
          <w:color w:val="000000"/>
          <w:sz w:val="28"/>
        </w:rPr>
        <w:t>法定代表人身份证明书（格式）</w:t>
      </w:r>
    </w:p>
    <w:p w14:paraId="11BE92B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6CF1709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640"/>
      </w:pPr>
      <w:r>
        <w:rPr>
          <w:rFonts w:ascii="宋体" w:hAnsi="宋体" w:eastAsia="宋体" w:cs="宋体"/>
          <w:color w:val="000000"/>
          <w:sz w:val="24"/>
          <w:u w:val="single"/>
        </w:rPr>
        <w:t xml:space="preserve">         </w:t>
      </w:r>
      <w:r>
        <w:rPr>
          <w:rFonts w:ascii="宋体" w:hAnsi="宋体" w:eastAsia="宋体" w:cs="宋体"/>
          <w:color w:val="000000"/>
          <w:sz w:val="24"/>
        </w:rPr>
        <w:t>（法定代表人姓名）在</w:t>
      </w:r>
      <w:r>
        <w:rPr>
          <w:rFonts w:ascii="宋体" w:hAnsi="宋体" w:eastAsia="宋体" w:cs="宋体"/>
          <w:color w:val="000000"/>
          <w:sz w:val="24"/>
          <w:u w:val="single"/>
        </w:rPr>
        <w:t xml:space="preserve">                       </w:t>
      </w:r>
      <w:r>
        <w:rPr>
          <w:rFonts w:ascii="宋体" w:hAnsi="宋体" w:eastAsia="宋体" w:cs="宋体"/>
          <w:color w:val="000000"/>
          <w:sz w:val="24"/>
        </w:rPr>
        <w:t>（供应商名称）任</w:t>
      </w:r>
      <w:r>
        <w:rPr>
          <w:rFonts w:ascii="宋体" w:hAnsi="宋体" w:eastAsia="宋体" w:cs="宋体"/>
          <w:color w:val="000000"/>
          <w:sz w:val="24"/>
          <w:u w:val="single"/>
        </w:rPr>
        <w:t xml:space="preserve">           </w:t>
      </w:r>
      <w:r>
        <w:rPr>
          <w:rFonts w:ascii="宋体" w:hAnsi="宋体" w:eastAsia="宋体" w:cs="宋体"/>
          <w:color w:val="000000"/>
          <w:sz w:val="24"/>
        </w:rPr>
        <w:t>（职务名称）职务，是</w:t>
      </w:r>
      <w:r>
        <w:rPr>
          <w:rFonts w:ascii="宋体" w:hAnsi="宋体" w:eastAsia="宋体" w:cs="宋体"/>
          <w:color w:val="000000"/>
          <w:sz w:val="24"/>
          <w:u w:val="single"/>
        </w:rPr>
        <w:t xml:space="preserve">                       </w:t>
      </w:r>
      <w:r>
        <w:rPr>
          <w:rFonts w:ascii="宋体" w:hAnsi="宋体" w:eastAsia="宋体" w:cs="宋体"/>
          <w:color w:val="000000"/>
          <w:sz w:val="24"/>
        </w:rPr>
        <w:t>（供应商名称）的法定代表人。</w:t>
      </w:r>
    </w:p>
    <w:p w14:paraId="5BBCF99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p>
    <w:p w14:paraId="3874B82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r>
        <w:rPr>
          <w:rFonts w:ascii="宋体" w:hAnsi="宋体" w:eastAsia="宋体" w:cs="宋体"/>
          <w:color w:val="000000"/>
          <w:sz w:val="24"/>
        </w:rPr>
        <w:t>特此证明。</w:t>
      </w:r>
    </w:p>
    <w:p w14:paraId="1498DDE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78DED54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18D1DA1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1F9557C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741876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9942A7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（供应商全称）</w:t>
      </w:r>
    </w:p>
    <w:p w14:paraId="7A93B88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年   月   日</w:t>
      </w:r>
    </w:p>
    <w:p w14:paraId="10FF1FF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（公章）</w:t>
      </w:r>
    </w:p>
    <w:p w14:paraId="00A518C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7960598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附：上述法定代表人住址：</w:t>
      </w:r>
    </w:p>
    <w:p w14:paraId="0BDA0EF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身份证号码：</w:t>
      </w:r>
    </w:p>
    <w:p w14:paraId="7323682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电    传：</w:t>
      </w:r>
    </w:p>
    <w:p w14:paraId="061EFBC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网    址：</w:t>
      </w:r>
    </w:p>
    <w:p w14:paraId="336BAFD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邮政编码：</w:t>
      </w:r>
    </w:p>
    <w:p w14:paraId="5564648D">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6EDB2FA2">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0AFF3DAA">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03D6CB62">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1E2FCDCC">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3DAB96A7">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683D807B">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22CF44F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75A3FCD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pPr>
      <w:r>
        <w:rPr>
          <w:rFonts w:ascii="宋体" w:hAnsi="宋体" w:eastAsia="宋体" w:cs="宋体"/>
          <w:b/>
          <w:color w:val="000000"/>
          <w:sz w:val="28"/>
        </w:rPr>
        <w:t>法定代表人授权委托书（格式）</w:t>
      </w:r>
    </w:p>
    <w:p w14:paraId="63391C2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1B46F4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项目名称：_______________</w:t>
      </w:r>
    </w:p>
    <w:p w14:paraId="19C818D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日    期：_______________</w:t>
      </w:r>
    </w:p>
    <w:p w14:paraId="49E2361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致：</w:t>
      </w:r>
      <w:r>
        <w:rPr>
          <w:rFonts w:ascii="宋体" w:hAnsi="宋体" w:eastAsia="宋体" w:cs="宋体"/>
          <w:color w:val="000000"/>
          <w:sz w:val="24"/>
          <w:u w:val="single"/>
        </w:rPr>
        <w:t>福建中医药大学附属人民医院</w:t>
      </w:r>
    </w:p>
    <w:p w14:paraId="4A0C88E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_____________________（供应商名称）是中华人民共和国合法企业，法定地址______________________________。</w:t>
      </w:r>
    </w:p>
    <w:p w14:paraId="4D01DC4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 xml:space="preserve"> _______（供应商法定代表人姓名）特授权</w:t>
      </w:r>
      <w:r>
        <w:rPr>
          <w:rFonts w:ascii="宋体" w:hAnsi="宋体" w:eastAsia="宋体" w:cs="宋体"/>
          <w:color w:val="000000"/>
          <w:sz w:val="24"/>
          <w:u w:val="single"/>
        </w:rPr>
        <w:t xml:space="preserve">                       </w:t>
      </w:r>
      <w:r>
        <w:rPr>
          <w:rFonts w:ascii="宋体" w:hAnsi="宋体" w:eastAsia="宋体" w:cs="宋体"/>
          <w:color w:val="000000"/>
          <w:sz w:val="24"/>
        </w:rPr>
        <w:t>（被授权人姓名及身份证代码）代表我单位全权办理对上述项目的投标、签约等具体工作，并签署全部有关的文件、协议及合同。</w:t>
      </w:r>
    </w:p>
    <w:p w14:paraId="062C74A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我单位对被授权人的签名负全部责任。</w:t>
      </w:r>
    </w:p>
    <w:p w14:paraId="352801B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在撤消授权的书面通知以前，本授权书一直有效。被授权人签署的所有文件（在授权书有效期内签署的）不因授权的撤消而失效。</w:t>
      </w:r>
    </w:p>
    <w:p w14:paraId="3CF7A8B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1675EFB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AA521F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被授权人签名：                    法定代表人签名：</w:t>
      </w:r>
    </w:p>
    <w:p w14:paraId="2CAEF3B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职  务：                            职  务：</w:t>
      </w:r>
    </w:p>
    <w:p w14:paraId="013D7F5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08AA0A9">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ab/>
      </w:r>
      <w:r>
        <w:rPr>
          <w:rFonts w:ascii="宋体" w:hAnsi="宋体" w:eastAsia="宋体" w:cs="宋体"/>
          <w:color w:val="000000"/>
          <w:sz w:val="24"/>
        </w:rPr>
        <w:t xml:space="preserve">                                    供应商公章：</w:t>
      </w:r>
    </w:p>
    <w:p w14:paraId="3620D80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417C23E2">
      <w:pPr>
        <w:pBdr>
          <w:top w:val="none" w:color="000000" w:sz="0" w:space="0"/>
          <w:left w:val="none" w:color="000000" w:sz="0" w:space="0"/>
          <w:bottom w:val="none" w:color="000000" w:sz="0" w:space="0"/>
          <w:right w:val="none" w:color="000000" w:sz="0" w:space="0"/>
        </w:pBdr>
        <w:tabs>
          <w:tab w:val="left" w:pos="6373"/>
        </w:tabs>
        <w:spacing w:before="0" w:after="0" w:line="360" w:lineRule="auto"/>
        <w:ind w:left="0" w:right="0" w:firstLine="480"/>
      </w:pPr>
      <w:r>
        <w:rPr>
          <w:rFonts w:ascii="宋体" w:hAnsi="宋体" w:eastAsia="宋体" w:cs="宋体"/>
          <w:color w:val="000000"/>
          <w:sz w:val="24"/>
        </w:rPr>
        <w:tab/>
      </w:r>
    </w:p>
    <w:p w14:paraId="5F33B5C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00B2757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1E916F9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12917BD1">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3"/>
      <w:numFmt w:val="decimal"/>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6F6E658D"/>
    <w:multiLevelType w:val="singleLevel"/>
    <w:tmpl w:val="6F6E658D"/>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HorizontalSpacing w:val="0"/>
  <w:drawingGridVerticalSpacing w:val="312"/>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57071"/>
    <w:rsid w:val="0D6276FC"/>
    <w:rsid w:val="1B3C158C"/>
    <w:rsid w:val="1B682381"/>
    <w:rsid w:val="2A1170A6"/>
    <w:rsid w:val="2ADB34D4"/>
    <w:rsid w:val="3A610400"/>
    <w:rsid w:val="3CA9369F"/>
    <w:rsid w:val="3DB80AEF"/>
    <w:rsid w:val="5C9F4FE6"/>
    <w:rsid w:val="638B61DA"/>
    <w:rsid w:val="675B2C67"/>
    <w:rsid w:val="73BC418E"/>
    <w:rsid w:val="7CEC1640"/>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kern w:val="2"/>
      <w:sz w:val="21"/>
      <w:szCs w:val="24"/>
      <w:lang w:val="en-US" w:eastAsia="zh-CN" w:bidi="ar-SA"/>
    </w:rPr>
  </w:style>
  <w:style w:type="paragraph" w:styleId="3">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0"/>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1"/>
    <w:semiHidden/>
    <w:unhideWhenUsed/>
    <w:qFormat/>
    <w:uiPriority w:val="99"/>
    <w:pPr>
      <w:spacing w:after="0" w:line="240" w:lineRule="auto"/>
    </w:pPr>
    <w:rPr>
      <w:sz w:val="20"/>
    </w:rPr>
  </w:style>
  <w:style w:type="paragraph" w:styleId="18">
    <w:name w:val="footer"/>
    <w:basedOn w:val="1"/>
    <w:link w:val="54"/>
    <w:unhideWhenUsed/>
    <w:qFormat/>
    <w:uiPriority w:val="99"/>
    <w:pPr>
      <w:tabs>
        <w:tab w:val="center" w:pos="7143"/>
        <w:tab w:val="right" w:pos="14287"/>
      </w:tabs>
      <w:spacing w:after="0" w:line="240" w:lineRule="auto"/>
    </w:pPr>
  </w:style>
  <w:style w:type="paragraph" w:styleId="19">
    <w:name w:val="header"/>
    <w:basedOn w:val="1"/>
    <w:link w:val="52"/>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basedOn w:val="31"/>
    <w:semiHidden/>
    <w:unhideWhenUsed/>
    <w:qFormat/>
    <w:uiPriority w:val="99"/>
    <w:rPr>
      <w:vertAlign w:val="superscript"/>
    </w:rPr>
  </w:style>
  <w:style w:type="character" w:styleId="33">
    <w:name w:val="Hyperlink"/>
    <w:unhideWhenUsed/>
    <w:qFormat/>
    <w:uiPriority w:val="99"/>
    <w:rPr>
      <w:color w:val="0026E5"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link w:val="3"/>
    <w:qFormat/>
    <w:uiPriority w:val="9"/>
    <w:rPr>
      <w:rFonts w:ascii="Arial" w:hAnsi="Arial" w:eastAsia="Arial" w:cs="Arial"/>
      <w:sz w:val="40"/>
      <w:szCs w:val="40"/>
    </w:rPr>
  </w:style>
  <w:style w:type="character" w:customStyle="1" w:styleId="36">
    <w:name w:val="Heading 2 Char"/>
    <w:basedOn w:val="31"/>
    <w:link w:val="4"/>
    <w:qFormat/>
    <w:uiPriority w:val="9"/>
    <w:rPr>
      <w:rFonts w:ascii="Arial" w:hAnsi="Arial" w:eastAsia="Arial" w:cs="Arial"/>
      <w:sz w:val="34"/>
    </w:rPr>
  </w:style>
  <w:style w:type="character" w:customStyle="1" w:styleId="37">
    <w:name w:val="Heading 3 Char"/>
    <w:basedOn w:val="31"/>
    <w:link w:val="5"/>
    <w:qFormat/>
    <w:uiPriority w:val="9"/>
    <w:rPr>
      <w:rFonts w:ascii="Arial" w:hAnsi="Arial" w:eastAsia="Arial" w:cs="Arial"/>
      <w:sz w:val="30"/>
      <w:szCs w:val="30"/>
    </w:rPr>
  </w:style>
  <w:style w:type="character" w:customStyle="1" w:styleId="38">
    <w:name w:val="Heading 4 Char"/>
    <w:basedOn w:val="31"/>
    <w:link w:val="6"/>
    <w:qFormat/>
    <w:uiPriority w:val="9"/>
    <w:rPr>
      <w:rFonts w:ascii="Arial" w:hAnsi="Arial" w:eastAsia="Arial" w:cs="Arial"/>
      <w:b/>
      <w:bCs/>
      <w:sz w:val="26"/>
      <w:szCs w:val="26"/>
    </w:rPr>
  </w:style>
  <w:style w:type="character" w:customStyle="1" w:styleId="39">
    <w:name w:val="Heading 5 Char"/>
    <w:basedOn w:val="31"/>
    <w:link w:val="7"/>
    <w:qFormat/>
    <w:uiPriority w:val="9"/>
    <w:rPr>
      <w:rFonts w:ascii="Arial" w:hAnsi="Arial" w:eastAsia="Arial" w:cs="Arial"/>
      <w:b/>
      <w:bCs/>
      <w:sz w:val="24"/>
      <w:szCs w:val="24"/>
    </w:rPr>
  </w:style>
  <w:style w:type="character" w:customStyle="1" w:styleId="40">
    <w:name w:val="Heading 6 Char"/>
    <w:basedOn w:val="31"/>
    <w:link w:val="8"/>
    <w:qFormat/>
    <w:uiPriority w:val="9"/>
    <w:rPr>
      <w:rFonts w:ascii="Arial" w:hAnsi="Arial" w:eastAsia="Arial" w:cs="Arial"/>
      <w:b/>
      <w:bCs/>
      <w:sz w:val="22"/>
      <w:szCs w:val="22"/>
    </w:rPr>
  </w:style>
  <w:style w:type="character" w:customStyle="1" w:styleId="41">
    <w:name w:val="Heading 7 Char"/>
    <w:basedOn w:val="31"/>
    <w:link w:val="9"/>
    <w:qFormat/>
    <w:uiPriority w:val="9"/>
    <w:rPr>
      <w:rFonts w:ascii="Arial" w:hAnsi="Arial" w:eastAsia="Arial" w:cs="Arial"/>
      <w:b/>
      <w:bCs/>
      <w:i/>
      <w:iCs/>
      <w:sz w:val="22"/>
      <w:szCs w:val="22"/>
    </w:rPr>
  </w:style>
  <w:style w:type="character" w:customStyle="1" w:styleId="42">
    <w:name w:val="Heading 8 Char"/>
    <w:basedOn w:val="31"/>
    <w:link w:val="10"/>
    <w:qFormat/>
    <w:uiPriority w:val="9"/>
    <w:rPr>
      <w:rFonts w:ascii="Arial" w:hAnsi="Arial" w:eastAsia="Arial" w:cs="Arial"/>
      <w:i/>
      <w:iCs/>
      <w:sz w:val="22"/>
      <w:szCs w:val="22"/>
    </w:rPr>
  </w:style>
  <w:style w:type="character" w:customStyle="1" w:styleId="43">
    <w:name w:val="Heading 9 Char"/>
    <w:basedOn w:val="31"/>
    <w:link w:val="11"/>
    <w:qFormat/>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6">
    <w:name w:val="Title Char"/>
    <w:basedOn w:val="31"/>
    <w:link w:val="28"/>
    <w:qFormat/>
    <w:uiPriority w:val="10"/>
    <w:rPr>
      <w:sz w:val="48"/>
      <w:szCs w:val="48"/>
    </w:rPr>
  </w:style>
  <w:style w:type="character" w:customStyle="1" w:styleId="47">
    <w:name w:val="Subtitle Char"/>
    <w:basedOn w:val="31"/>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31"/>
    <w:link w:val="19"/>
    <w:qFormat/>
    <w:uiPriority w:val="99"/>
  </w:style>
  <w:style w:type="character" w:customStyle="1" w:styleId="53">
    <w:name w:val="Footer Char"/>
    <w:basedOn w:val="31"/>
    <w:link w:val="18"/>
    <w:qFormat/>
    <w:uiPriority w:val="99"/>
  </w:style>
  <w:style w:type="character" w:customStyle="1" w:styleId="54">
    <w:name w:val="Caption Char"/>
    <w:link w:val="18"/>
    <w:qFormat/>
    <w:uiPriority w:val="99"/>
  </w:style>
  <w:style w:type="table" w:customStyle="1" w:styleId="55">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29"/>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3">
    <w:name w:val="Grid Table 1 Light - Accent 2"/>
    <w:basedOn w:val="29"/>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4">
    <w:name w:val="Grid Table 1 Light - Accent 3"/>
    <w:basedOn w:val="29"/>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5">
    <w:name w:val="Grid Table 1 Light - Accent 4"/>
    <w:basedOn w:val="29"/>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6">
    <w:name w:val="Grid Table 1 Light - Accent 5"/>
    <w:basedOn w:val="29"/>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7">
    <w:name w:val="Grid Table 1 Light - Accent 6"/>
    <w:basedOn w:val="29"/>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68">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0">
    <w:name w:val="Grid Table 2 - Accent 2"/>
    <w:basedOn w:val="29"/>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1">
    <w:name w:val="Grid Table 2 - Accent 3"/>
    <w:basedOn w:val="29"/>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2">
    <w:name w:val="Grid Table 2 - Accent 4"/>
    <w:basedOn w:val="29"/>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3">
    <w:name w:val="Grid Table 2 - Accent 5"/>
    <w:basedOn w:val="29"/>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4">
    <w:name w:val="Grid Table 2 - Accent 6"/>
    <w:basedOn w:val="29"/>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5">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7">
    <w:name w:val="Grid Table 3 - Accent 2"/>
    <w:basedOn w:val="29"/>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8">
    <w:name w:val="Grid Table 3 - Accent 3"/>
    <w:basedOn w:val="29"/>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9">
    <w:name w:val="Grid Table 3 - Accent 4"/>
    <w:basedOn w:val="29"/>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0">
    <w:name w:val="Grid Table 3 - Accent 5"/>
    <w:basedOn w:val="29"/>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1">
    <w:name w:val="Grid Table 3 - Accent 6"/>
    <w:basedOn w:val="29"/>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2">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basedOn w:val="29"/>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4">
    <w:name w:val="Grid Table 4 - Accent 2"/>
    <w:basedOn w:val="29"/>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5">
    <w:name w:val="Grid Table 4 - Accent 3"/>
    <w:basedOn w:val="29"/>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6">
    <w:name w:val="Grid Table 4 - Accent 4"/>
    <w:basedOn w:val="29"/>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7">
    <w:name w:val="Grid Table 4 - Accent 5"/>
    <w:basedOn w:val="29"/>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8">
    <w:name w:val="Grid Table 4 - Accent 6"/>
    <w:basedOn w:val="29"/>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9">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1">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2">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3">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4">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5">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6">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29"/>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29"/>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29"/>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29"/>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2">
    <w:name w:val="Grid Table 6 Colorful - Accent 6"/>
    <w:basedOn w:val="29"/>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3">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29"/>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29"/>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29"/>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basedOn w:val="29"/>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29"/>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9">
    <w:name w:val="Grid Table 7 Colorful - Accent 6"/>
    <w:basedOn w:val="29"/>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0">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basedOn w:val="29"/>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2">
    <w:name w:val="List Table 1 Light - Accent 2"/>
    <w:basedOn w:val="29"/>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3">
    <w:name w:val="List Table 1 Light - Accent 3"/>
    <w:basedOn w:val="29"/>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4">
    <w:name w:val="List Table 1 Light - Accent 4"/>
    <w:basedOn w:val="29"/>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5">
    <w:name w:val="List Table 1 Light - Accent 5"/>
    <w:basedOn w:val="29"/>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6">
    <w:name w:val="List Table 1 Light - Accent 6"/>
    <w:basedOn w:val="29"/>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7">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basedOn w:val="29"/>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19">
    <w:name w:val="List Table 2 - Accent 2"/>
    <w:basedOn w:val="29"/>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20">
    <w:name w:val="List Table 2 - Accent 3"/>
    <w:basedOn w:val="29"/>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1">
    <w:name w:val="List Table 2 - Accent 4"/>
    <w:basedOn w:val="29"/>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2">
    <w:name w:val="List Table 2 - Accent 5"/>
    <w:basedOn w:val="29"/>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3">
    <w:name w:val="List Table 2 - Accent 6"/>
    <w:basedOn w:val="29"/>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4">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29"/>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6">
    <w:name w:val="List Table 3 - Accent 2"/>
    <w:basedOn w:val="29"/>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7">
    <w:name w:val="List Table 3 - Accent 3"/>
    <w:basedOn w:val="29"/>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28">
    <w:name w:val="List Table 3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29">
    <w:name w:val="List Table 3 - Accent 5"/>
    <w:basedOn w:val="29"/>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30">
    <w:name w:val="List Table 3 - Accent 6"/>
    <w:basedOn w:val="29"/>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1">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basedOn w:val="29"/>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3">
    <w:name w:val="List Table 4 - Accent 2"/>
    <w:basedOn w:val="29"/>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4">
    <w:name w:val="List Table 4 - Accent 3"/>
    <w:basedOn w:val="29"/>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5">
    <w:name w:val="List Table 4 - Accent 4"/>
    <w:basedOn w:val="29"/>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6">
    <w:name w:val="List Table 4 - Accent 5"/>
    <w:basedOn w:val="29"/>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7">
    <w:name w:val="List Table 4 - Accent 6"/>
    <w:basedOn w:val="29"/>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38">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basedOn w:val="29"/>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40">
    <w:name w:val="List Table 5 Dark - Accent 2"/>
    <w:basedOn w:val="29"/>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1">
    <w:name w:val="List Table 5 Dark - Accent 3"/>
    <w:basedOn w:val="29"/>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2">
    <w:name w:val="List Table 5 Dark - Accent 4"/>
    <w:basedOn w:val="29"/>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3">
    <w:name w:val="List Table 5 Dark - Accent 5"/>
    <w:basedOn w:val="29"/>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4">
    <w:name w:val="List Table 5 Dark - Accent 6"/>
    <w:basedOn w:val="29"/>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5">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29"/>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7">
    <w:name w:val="List Table 6 Colorful - Accent 2"/>
    <w:basedOn w:val="29"/>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29"/>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29"/>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29"/>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29"/>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2">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29"/>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4">
    <w:name w:val="List Table 7 Colorful - Accent 2"/>
    <w:basedOn w:val="29"/>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29"/>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29"/>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29"/>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29"/>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basedOn w:val="29"/>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1">
    <w:name w:val="Lined - Accent 2"/>
    <w:basedOn w:val="29"/>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2">
    <w:name w:val="Lined - Accent 3"/>
    <w:basedOn w:val="29"/>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3">
    <w:name w:val="Lined - Accent 4"/>
    <w:basedOn w:val="29"/>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4">
    <w:name w:val="Lined - Accent 5"/>
    <w:basedOn w:val="29"/>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5">
    <w:name w:val="Lined - Accent 6"/>
    <w:basedOn w:val="29"/>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6">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basedOn w:val="29"/>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8">
    <w:name w:val="Bordered &amp; Lined - Accent 2"/>
    <w:basedOn w:val="29"/>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9">
    <w:name w:val="Bordered &amp; Lined - Accent 3"/>
    <w:basedOn w:val="29"/>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0">
    <w:name w:val="Bordered &amp; Lined - Accent 4"/>
    <w:basedOn w:val="29"/>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1">
    <w:name w:val="Bordered &amp; Lined - Accent 5"/>
    <w:basedOn w:val="29"/>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2">
    <w:name w:val="Bordered &amp; Lined - Accent 6"/>
    <w:basedOn w:val="29"/>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3">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29"/>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5">
    <w:name w:val="Bordered - Accent 2"/>
    <w:basedOn w:val="29"/>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6">
    <w:name w:val="Bordered - Accent 3"/>
    <w:basedOn w:val="29"/>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7">
    <w:name w:val="Bordered - Accent 4"/>
    <w:basedOn w:val="29"/>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78">
    <w:name w:val="Bordered - Accent 5"/>
    <w:basedOn w:val="29"/>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79">
    <w:name w:val="Bordered - Accent 6"/>
    <w:basedOn w:val="29"/>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80">
    <w:name w:val="Footnote Text Char"/>
    <w:link w:val="23"/>
    <w:qFormat/>
    <w:uiPriority w:val="99"/>
    <w:rPr>
      <w:sz w:val="18"/>
    </w:rPr>
  </w:style>
  <w:style w:type="character" w:customStyle="1" w:styleId="181">
    <w:name w:val="Endnote Text Char"/>
    <w:link w:val="17"/>
    <w:qFormat/>
    <w:uiPriority w:val="99"/>
    <w:rPr>
      <w:sz w:val="20"/>
    </w:rPr>
  </w:style>
  <w:style w:type="paragraph" w:customStyle="1" w:styleId="182">
    <w:name w:val="TOC Heading"/>
    <w:unhideWhenUsed/>
    <w:qFormat/>
    <w:uiPriority w:val="39"/>
    <w:rPr>
      <w:rFonts w:hint="default" w:asciiTheme="minorHAnsi" w:hAnsiTheme="minorHAnsi" w:eastAsiaTheme="minorEastAsia" w:cstheme="minorBidi"/>
    </w:rPr>
  </w:style>
  <w:style w:type="paragraph" w:customStyle="1" w:styleId="18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127</Words>
  <Characters>130</Characters>
  <TotalTime>0</TotalTime>
  <ScaleCrop>false</ScaleCrop>
  <LinksUpToDate>false</LinksUpToDate>
  <CharactersWithSpaces>143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2025-09-09T02:14:00Z</dcterms:created>
  <dc:creator>何</dc:creator>
  <cp:lastModifiedBy>LiaoWanFang</cp:lastModifiedBy>
  <dcterms:modified xsi:type="dcterms:W3CDTF">2025-12-29T08:51:31Z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606BCA94D3044818B6F9FA65389932F5_11</vt:lpwstr>
  </property>
  <property fmtid="{D5CDD505-2E9C-101B-9397-08002B2CF9AE}" pid="4" name="KSOTemplateDocerSaveRecord">
    <vt:lpwstr>eyJoZGlkIjoiZWY4YTdjODU0OTdjMzNhMjAwOTY1ZGY2MTViMWM4NGMiLCJ1c2VySWQiOiI2OTQ4MTc1NDIifQ==</vt:lpwstr>
  </property>
</Properties>
</file>