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default" w:eastAsiaTheme="minorEastAsia"/>
          <w:b/>
          <w:bCs/>
          <w:sz w:val="28"/>
          <w:szCs w:val="28"/>
          <w:lang w:val="en-US" w:eastAsia="zh-CN"/>
        </w:rPr>
      </w:pPr>
      <w:bookmarkStart w:id="0" w:name="_GoBack"/>
      <w:r>
        <w:rPr>
          <w:rFonts w:hint="eastAsia"/>
          <w:b/>
          <w:bCs/>
          <w:sz w:val="28"/>
          <w:szCs w:val="28"/>
          <w:lang w:val="en-US" w:eastAsia="zh-CN"/>
        </w:rPr>
        <w:t>追溯标签发生质量不合格的补充协议</w:t>
      </w:r>
    </w:p>
    <w:bookmarkEnd w:id="0"/>
    <w:p>
      <w:pPr>
        <w:spacing w:line="360" w:lineRule="auto"/>
        <w:ind w:firstLine="720" w:firstLineChars="300"/>
        <w:rPr>
          <w:rFonts w:hint="eastAsia"/>
          <w:sz w:val="24"/>
          <w:szCs w:val="24"/>
        </w:rPr>
      </w:pPr>
      <w:r>
        <w:rPr>
          <w:rFonts w:hint="eastAsia"/>
          <w:sz w:val="24"/>
          <w:szCs w:val="24"/>
          <w:lang w:val="en-US" w:eastAsia="zh-CN"/>
        </w:rPr>
        <w:t>根据</w:t>
      </w:r>
      <w:r>
        <w:rPr>
          <w:rFonts w:hint="eastAsia"/>
          <w:sz w:val="24"/>
          <w:szCs w:val="24"/>
        </w:rPr>
        <w:t>《中华人民共和国产品质量法》第四十条，售出的产品有下列情形之一的，销售者应当负责修理、更换、退货；给购买产品的消费者造成损失的，销售者应当赔偿损失：</w:t>
      </w:r>
    </w:p>
    <w:p>
      <w:pPr>
        <w:spacing w:line="360" w:lineRule="auto"/>
        <w:rPr>
          <w:rFonts w:hint="eastAsia"/>
          <w:sz w:val="24"/>
          <w:szCs w:val="24"/>
        </w:rPr>
      </w:pPr>
      <w:r>
        <w:rPr>
          <w:rFonts w:hint="eastAsia"/>
          <w:sz w:val="24"/>
          <w:szCs w:val="24"/>
        </w:rPr>
        <w:t>（一）不具备产品应当具备的使用性能而事先未作说明的；</w:t>
      </w:r>
    </w:p>
    <w:p>
      <w:pPr>
        <w:spacing w:line="360" w:lineRule="auto"/>
        <w:rPr>
          <w:rFonts w:hint="eastAsia"/>
          <w:sz w:val="24"/>
          <w:szCs w:val="24"/>
        </w:rPr>
      </w:pPr>
      <w:r>
        <w:rPr>
          <w:rFonts w:hint="eastAsia"/>
          <w:sz w:val="24"/>
          <w:szCs w:val="24"/>
        </w:rPr>
        <w:t>（二）不符合在产品或者其包装上注明采用的产品标准的；</w:t>
      </w:r>
    </w:p>
    <w:p>
      <w:pPr>
        <w:spacing w:line="360" w:lineRule="auto"/>
        <w:rPr>
          <w:rFonts w:hint="eastAsia"/>
          <w:sz w:val="24"/>
          <w:szCs w:val="24"/>
        </w:rPr>
      </w:pPr>
      <w:r>
        <w:rPr>
          <w:rFonts w:hint="eastAsia"/>
          <w:sz w:val="24"/>
          <w:szCs w:val="24"/>
        </w:rPr>
        <w:t>（三）不符合以产品说明、实物样品等方式表明的质量状况的。</w:t>
      </w:r>
    </w:p>
    <w:p>
      <w:pPr>
        <w:spacing w:line="360" w:lineRule="auto"/>
        <w:ind w:firstLine="720" w:firstLineChars="300"/>
        <w:rPr>
          <w:rFonts w:hint="eastAsia"/>
          <w:sz w:val="24"/>
          <w:szCs w:val="24"/>
          <w:lang w:val="en-US" w:eastAsia="zh-CN"/>
        </w:rPr>
      </w:pPr>
      <w:r>
        <w:rPr>
          <w:rFonts w:hint="eastAsia"/>
          <w:sz w:val="24"/>
          <w:szCs w:val="24"/>
          <w:lang w:val="en-US" w:eastAsia="zh-CN"/>
        </w:rPr>
        <w:t>因前期在使用追溯标签的过程中由于标签问题造成消毒供应中心标签，纸塑包装等物力及人力的浪费，今后招标使用的标签如在使用过程中出现因为标签质量、批次及不符合我院招标标准等问题导致灭菌物品返洗、返工，提供标签的厂家应双倍赔偿医院标签、纸塑包装袋、化学指示卡等相关费用。</w:t>
      </w:r>
    </w:p>
    <w:p>
      <w:pPr>
        <w:spacing w:line="360" w:lineRule="auto"/>
        <w:ind w:firstLine="720" w:firstLineChars="300"/>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1363F8"/>
    <w:rsid w:val="7FF76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2022-01-03T15:26:00Z</dcterms:created>
  <dc:creator>HYJ</dc:creator>
  <cp:lastModifiedBy>Lucky 7</cp:lastModifiedBy>
  <dcterms:modified xsi:type="dcterms:W3CDTF">2022-01-05T04:02:29Z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52DA2843CFA34E2CA109C0FD493BA84C</vt:lpwstr>
  </property>
</Properties>
</file>