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tabs>
          <w:tab w:val="left" w:pos="4820"/>
        </w:tabs>
        <w:spacing w:before="0" w:beforeAutospacing="0" w:after="0" w:afterAutospacing="0" w:line="500" w:lineRule="exact"/>
        <w:jc w:val="center"/>
        <w:rPr>
          <w:rFonts w:hint="default" w:ascii="宋体" w:hAnsi="宋体" w:eastAsia="宋体" w:cs="宋体"/>
          <w:b/>
          <w:sz w:val="32"/>
          <w:szCs w:val="32"/>
          <w:lang w:val="en-US" w:eastAsia="zh-CN"/>
        </w:rPr>
      </w:pPr>
      <w:bookmarkStart w:id="0" w:name="_GoBack"/>
      <w:bookmarkEnd w:id="0"/>
      <w:r>
        <w:rPr>
          <w:rFonts w:hint="eastAsia" w:ascii="宋体" w:hAnsi="宋体" w:cs="宋体"/>
          <w:b/>
          <w:sz w:val="32"/>
          <w:szCs w:val="32"/>
          <w:lang w:val="en-US" w:eastAsia="zh-CN"/>
        </w:rPr>
        <w:t>具体参数要求</w:t>
      </w:r>
    </w:p>
    <w:p>
      <w:pPr>
        <w:pStyle w:val="13"/>
        <w:tabs>
          <w:tab w:val="left" w:pos="4820"/>
        </w:tabs>
        <w:spacing w:before="0" w:beforeAutospacing="0" w:after="0" w:afterAutospacing="0" w:line="500" w:lineRule="exact"/>
        <w:rPr>
          <w:rFonts w:hint="eastAsia" w:ascii="宋体" w:hAnsi="宋体" w:cs="宋体"/>
          <w:b/>
        </w:rPr>
      </w:pPr>
      <w:r>
        <w:rPr>
          <w:rFonts w:hint="eastAsia" w:ascii="宋体" w:hAnsi="宋体" w:cs="宋体"/>
          <w:b/>
          <w:lang w:val="en-US" w:eastAsia="zh-CN"/>
        </w:rPr>
        <w:t>本次采购的大语言模型算力租赁服务，租赁时间为</w:t>
      </w:r>
      <w:r>
        <w:rPr>
          <w:rFonts w:hint="eastAsia" w:ascii="宋体" w:hAnsi="宋体" w:cs="宋体"/>
          <w:b/>
          <w:color w:val="000000" w:themeColor="text1"/>
          <w:lang w:val="en-US" w:eastAsia="zh-CN"/>
          <w14:textFill>
            <w14:solidFill>
              <w14:schemeClr w14:val="tx1"/>
            </w14:solidFill>
          </w14:textFill>
        </w:rPr>
        <w:t>12个月</w:t>
      </w:r>
      <w:r>
        <w:rPr>
          <w:rFonts w:hint="eastAsia" w:ascii="宋体" w:hAnsi="宋体" w:cs="宋体"/>
          <w:b/>
          <w:lang w:val="en-US" w:eastAsia="zh-CN"/>
        </w:rPr>
        <w:t>，需要投标人提供如下内容：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服务</w:t>
      </w:r>
      <w:r>
        <w:rPr>
          <w:rFonts w:hint="eastAsia" w:ascii="宋体" w:hAnsi="宋体" w:eastAsia="宋体" w:cs="宋体"/>
          <w:b/>
          <w:color w:val="auto"/>
          <w:sz w:val="24"/>
          <w:szCs w:val="24"/>
          <w:highlight w:val="none"/>
        </w:rPr>
        <w:t>产品</w:t>
      </w:r>
      <w:r>
        <w:rPr>
          <w:rFonts w:hint="eastAsia" w:ascii="宋体" w:hAnsi="宋体" w:eastAsia="宋体" w:cs="宋体"/>
          <w:b/>
          <w:color w:val="auto"/>
          <w:sz w:val="24"/>
          <w:szCs w:val="24"/>
          <w:highlight w:val="none"/>
          <w:lang w:val="en-US" w:eastAsia="zh-CN"/>
        </w:rPr>
        <w:t>技术</w:t>
      </w:r>
      <w:r>
        <w:rPr>
          <w:rFonts w:hint="eastAsia" w:ascii="宋体" w:hAnsi="宋体" w:eastAsia="宋体" w:cs="宋体"/>
          <w:b/>
          <w:color w:val="auto"/>
          <w:sz w:val="24"/>
          <w:szCs w:val="24"/>
          <w:highlight w:val="none"/>
        </w:rPr>
        <w:t>参数需</w:t>
      </w:r>
      <w:r>
        <w:rPr>
          <w:rFonts w:hint="default" w:ascii="宋体" w:hAnsi="宋体" w:eastAsia="宋体" w:cs="宋体"/>
          <w:b/>
          <w:color w:val="auto"/>
          <w:sz w:val="24"/>
          <w:szCs w:val="24"/>
          <w:highlight w:val="none"/>
          <w:lang w:val="en-US"/>
        </w:rPr>
        <w:t>求清单</w:t>
      </w:r>
      <w:r>
        <w:rPr>
          <w:rFonts w:hint="eastAsia" w:ascii="宋体" w:hAnsi="宋体" w:eastAsia="宋体" w:cs="宋体"/>
          <w:b/>
          <w:color w:val="auto"/>
          <w:sz w:val="24"/>
          <w:szCs w:val="24"/>
          <w:highlight w:val="none"/>
          <w:lang w:val="en-US"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1"/>
        <w:gridCol w:w="2392"/>
        <w:gridCol w:w="2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1" w:type="dxa"/>
            <w:tcMar>
              <w:top w:w="0" w:type="dxa"/>
              <w:left w:w="105" w:type="dxa"/>
              <w:bottom w:w="0" w:type="dxa"/>
              <w:right w:w="105" w:type="dxa"/>
            </w:tcMar>
          </w:tcPr>
          <w:p>
            <w:pPr>
              <w:spacing w:line="360" w:lineRule="auto"/>
              <w:jc w:val="center"/>
              <w:rPr>
                <w:rFonts w:hint="default" w:ascii="宋体" w:hAnsi="宋体" w:eastAsia="宋体" w:cs="宋体"/>
                <w:b w:val="0"/>
                <w:bCs/>
                <w:color w:val="auto"/>
                <w:sz w:val="24"/>
                <w:szCs w:val="24"/>
                <w:highlight w:val="none"/>
                <w:lang w:val="en-US"/>
              </w:rPr>
            </w:pPr>
            <w:r>
              <w:rPr>
                <w:rFonts w:hint="eastAsia" w:ascii="宋体" w:hAnsi="宋体" w:eastAsia="宋体" w:cs="宋体"/>
                <w:b w:val="0"/>
                <w:bCs/>
                <w:color w:val="auto"/>
                <w:sz w:val="24"/>
                <w:szCs w:val="24"/>
                <w:highlight w:val="none"/>
                <w:lang w:val="en-US" w:eastAsia="zh-CN"/>
              </w:rPr>
              <w:t>产品名称</w:t>
            </w:r>
          </w:p>
        </w:tc>
        <w:tc>
          <w:tcPr>
            <w:tcW w:w="2392" w:type="dxa"/>
            <w:tcMar>
              <w:top w:w="0" w:type="dxa"/>
              <w:left w:w="105" w:type="dxa"/>
              <w:bottom w:w="0" w:type="dxa"/>
              <w:right w:w="105" w:type="dxa"/>
            </w:tcMar>
          </w:tcPr>
          <w:p>
            <w:pPr>
              <w:spacing w:line="36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数量</w:t>
            </w:r>
          </w:p>
        </w:tc>
        <w:tc>
          <w:tcPr>
            <w:tcW w:w="2589" w:type="dxa"/>
            <w:tcMar>
              <w:top w:w="0" w:type="dxa"/>
              <w:left w:w="105" w:type="dxa"/>
              <w:bottom w:w="0" w:type="dxa"/>
              <w:right w:w="105" w:type="dxa"/>
            </w:tcMar>
          </w:tcPr>
          <w:p>
            <w:pPr>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81" w:type="dxa"/>
            <w:tcMar>
              <w:top w:w="0" w:type="dxa"/>
              <w:left w:w="105" w:type="dxa"/>
              <w:bottom w:w="0" w:type="dxa"/>
              <w:right w:w="105" w:type="dxa"/>
            </w:tcMar>
          </w:tcPr>
          <w:p>
            <w:pPr>
              <w:spacing w:line="360" w:lineRule="auto"/>
              <w:rPr>
                <w:rFonts w:hint="default" w:ascii="宋体" w:hAnsi="宋体" w:eastAsia="宋体" w:cs="宋体"/>
                <w:b w:val="0"/>
                <w:bCs/>
                <w:color w:val="auto"/>
                <w:sz w:val="24"/>
                <w:szCs w:val="24"/>
                <w:highlight w:val="none"/>
                <w:lang w:val="en-US"/>
              </w:rPr>
            </w:pPr>
            <w:r>
              <w:rPr>
                <w:rFonts w:hint="eastAsia" w:ascii="宋体" w:hAnsi="宋体" w:eastAsia="宋体" w:cs="宋体"/>
                <w:b w:val="0"/>
                <w:bCs/>
                <w:color w:val="auto"/>
                <w:sz w:val="24"/>
                <w:szCs w:val="24"/>
                <w:highlight w:val="none"/>
              </w:rPr>
              <w:t>1.GPU</w:t>
            </w:r>
            <w:r>
              <w:rPr>
                <w:rFonts w:hint="eastAsia" w:ascii="宋体" w:hAnsi="宋体" w:eastAsia="宋体" w:cs="宋体"/>
                <w:b w:val="0"/>
                <w:bCs/>
                <w:color w:val="auto"/>
                <w:sz w:val="24"/>
                <w:szCs w:val="24"/>
                <w:highlight w:val="none"/>
                <w:lang w:val="en-US" w:eastAsia="zh-CN"/>
              </w:rPr>
              <w:t>算力资源（含</w:t>
            </w:r>
            <w:r>
              <w:rPr>
                <w:rFonts w:hint="eastAsia" w:ascii="宋体" w:hAnsi="宋体" w:eastAsia="宋体" w:cs="宋体"/>
                <w:b w:val="0"/>
                <w:bCs/>
                <w:color w:val="auto"/>
                <w:kern w:val="2"/>
                <w:sz w:val="24"/>
                <w:szCs w:val="24"/>
                <w:highlight w:val="none"/>
                <w:lang w:val="en-US" w:eastAsia="zh-CN" w:bidi="ar-SA"/>
              </w:rPr>
              <w:t>数据盘 SSD 1TB</w:t>
            </w:r>
            <w:r>
              <w:rPr>
                <w:rFonts w:hint="eastAsia" w:ascii="宋体" w:hAnsi="宋体" w:eastAsia="宋体" w:cs="宋体"/>
                <w:b w:val="0"/>
                <w:bCs/>
                <w:color w:val="auto"/>
                <w:sz w:val="24"/>
                <w:szCs w:val="24"/>
                <w:highlight w:val="none"/>
                <w:lang w:val="en-US" w:eastAsia="zh-CN"/>
              </w:rPr>
              <w:t>）</w:t>
            </w:r>
          </w:p>
        </w:tc>
        <w:tc>
          <w:tcPr>
            <w:tcW w:w="2392" w:type="dxa"/>
            <w:tcMar>
              <w:top w:w="0" w:type="dxa"/>
              <w:left w:w="105" w:type="dxa"/>
              <w:bottom w:w="0" w:type="dxa"/>
              <w:right w:w="105" w:type="dxa"/>
            </w:tcMar>
          </w:tcPr>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台</w:t>
            </w:r>
          </w:p>
        </w:tc>
        <w:tc>
          <w:tcPr>
            <w:tcW w:w="2589" w:type="dxa"/>
            <w:vMerge w:val="restart"/>
            <w:tcMar>
              <w:top w:w="0" w:type="dxa"/>
              <w:left w:w="105" w:type="dxa"/>
              <w:bottom w:w="0" w:type="dxa"/>
              <w:right w:w="105" w:type="dxa"/>
            </w:tcMar>
          </w:tcPr>
          <w:p>
            <w:pPr>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具体要求见下方技术参数要求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3581" w:type="dxa"/>
            <w:shd w:val="clear" w:color="auto" w:fill="auto"/>
            <w:tcMar>
              <w:top w:w="0" w:type="dxa"/>
              <w:left w:w="105" w:type="dxa"/>
              <w:bottom w:w="0" w:type="dxa"/>
              <w:right w:w="105" w:type="dxa"/>
            </w:tcMar>
          </w:tcPr>
          <w:p>
            <w:pPr>
              <w:spacing w:line="360" w:lineRule="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2.SDWAN专线</w:t>
            </w:r>
          </w:p>
        </w:tc>
        <w:tc>
          <w:tcPr>
            <w:tcW w:w="2392" w:type="dxa"/>
            <w:shd w:val="clear" w:color="auto" w:fill="auto"/>
            <w:tcMar>
              <w:top w:w="0" w:type="dxa"/>
              <w:left w:w="105" w:type="dxa"/>
              <w:bottom w:w="0" w:type="dxa"/>
              <w:right w:w="105" w:type="dxa"/>
            </w:tcMar>
          </w:tcPr>
          <w:p>
            <w:pPr>
              <w:spacing w:line="360" w:lineRule="auto"/>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2"/>
                <w:sz w:val="24"/>
                <w:szCs w:val="24"/>
                <w:highlight w:val="none"/>
                <w:lang w:val="en-US" w:eastAsia="zh-CN" w:bidi="ar-SA"/>
              </w:rPr>
              <w:t>1项</w:t>
            </w:r>
          </w:p>
        </w:tc>
        <w:tc>
          <w:tcPr>
            <w:tcW w:w="2589" w:type="dxa"/>
            <w:vMerge w:val="continue"/>
            <w:tcMar>
              <w:top w:w="0" w:type="dxa"/>
              <w:left w:w="105" w:type="dxa"/>
              <w:bottom w:w="0" w:type="dxa"/>
              <w:right w:w="105" w:type="dxa"/>
            </w:tcMar>
          </w:tcPr>
          <w:p>
            <w:pPr>
              <w:spacing w:line="360" w:lineRule="auto"/>
              <w:rPr>
                <w:rFonts w:hint="eastAsia" w:ascii="宋体" w:hAnsi="宋体" w:eastAsia="宋体" w:cs="宋体"/>
                <w:b w:val="0"/>
                <w:bCs/>
                <w:color w:val="auto"/>
                <w:sz w:val="24"/>
                <w:szCs w:val="24"/>
                <w:highlight w:val="none"/>
              </w:rPr>
            </w:pPr>
          </w:p>
        </w:tc>
      </w:tr>
    </w:tbl>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auto"/>
          <w:sz w:val="24"/>
          <w:szCs w:val="24"/>
          <w:highlight w:val="none"/>
          <w:lang w:val="en-US" w:eastAsia="zh-CN"/>
        </w:rPr>
      </w:pP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 GPU算力资源技术参数要求：</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Cs/>
          <w:sz w:val="24"/>
          <w:highlight w:val="none"/>
        </w:rPr>
        <w:t>单台主机提供不低于4块GPU</w:t>
      </w:r>
      <w:r>
        <w:rPr>
          <w:rFonts w:hint="eastAsia" w:ascii="宋体" w:hAnsi="宋体" w:eastAsia="宋体" w:cs="宋体"/>
          <w:bCs/>
          <w:sz w:val="24"/>
          <w:highlight w:val="none"/>
          <w:lang w:eastAsia="zh-CN"/>
        </w:rPr>
        <w:t>；</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显存容量：单GPU不低于24 GB GDDR6，总显存不低于96GB；</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CUDA核心数量：单GPU卡不低于9000；</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单精度浮点运算峰值（FP32）：单GPU卡不低于31.2 TFLOPS；</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半精度浮点运算峰值（FP16）：单GPU卡不低于125 TFLOPS；</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可以为主机选择自定义密码、随机密码或密钥对登录；</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支持主机属性管理和配置功能，包括：重置密码、修改实例主机名、自定义和修改实例描述、创建相同配置等；</w:t>
      </w:r>
    </w:p>
    <w:p>
      <w:pPr>
        <w:numPr>
          <w:ilvl w:val="0"/>
          <w:numId w:val="4"/>
        </w:numPr>
        <w:spacing w:line="360" w:lineRule="auto"/>
        <w:ind w:left="425" w:leftChars="0" w:hanging="425" w:firstLineChars="0"/>
        <w:rPr>
          <w:rFonts w:hint="eastAsia" w:ascii="宋体" w:hAnsi="宋体" w:eastAsia="宋体" w:cs="宋体"/>
          <w:b/>
          <w:bCs w:val="0"/>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支持多种类型GPU显卡，包括：NVIDIA T4/V100/A10/A100/昇腾300i pro等；</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支持一键重装操作系统，支持重装为公共镜像（Windows、ubuntu、centos、）、私有镜像、共享镜像、安全产品镜像；</w:t>
      </w:r>
    </w:p>
    <w:p>
      <w:pPr>
        <w:numPr>
          <w:ilvl w:val="0"/>
          <w:numId w:val="4"/>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支持自定义镜像功能，可基于实例创建私有镜像。支持用户级别的共享镜像；</w:t>
      </w:r>
    </w:p>
    <w:p>
      <w:pPr>
        <w:numPr>
          <w:ilvl w:val="0"/>
          <w:numId w:val="4"/>
        </w:numPr>
        <w:spacing w:line="360" w:lineRule="auto"/>
        <w:ind w:left="425" w:leftChars="0" w:hanging="425" w:firstLineChars="0"/>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提供不低于1TB的SSD 数据盘。</w:t>
      </w:r>
    </w:p>
    <w:p>
      <w:pPr>
        <w:numPr>
          <w:ilvl w:val="0"/>
          <w:numId w:val="4"/>
        </w:numPr>
        <w:spacing w:line="360" w:lineRule="auto"/>
        <w:ind w:left="425" w:leftChars="0" w:hanging="425" w:firstLineChars="0"/>
        <w:rPr>
          <w:rFonts w:hint="eastAsia" w:ascii="宋体" w:hAnsi="宋体" w:eastAsia="宋体" w:cs="宋体"/>
          <w:b w:val="0"/>
          <w:bCs/>
          <w:color w:val="000000"/>
          <w:sz w:val="24"/>
          <w:szCs w:val="24"/>
          <w:highlight w:val="none"/>
          <w:u w:val="none"/>
          <w:lang w:val="en-US" w:eastAsia="zh-CN"/>
        </w:rPr>
      </w:pPr>
      <w:r>
        <w:rPr>
          <w:rFonts w:hint="eastAsia" w:ascii="宋体" w:hAnsi="宋体" w:eastAsia="宋体" w:cs="宋体"/>
          <w:b w:val="0"/>
          <w:bCs/>
          <w:color w:val="000000"/>
          <w:sz w:val="24"/>
          <w:szCs w:val="24"/>
          <w:highlight w:val="none"/>
          <w:u w:val="none"/>
          <w:lang w:val="en-US" w:eastAsia="zh-CN"/>
        </w:rPr>
        <w:t>投标人承诺所投算力资源的通过医疗大数据基础能力可信选型评估检验，评估方法包括数据预处理、大数据分析、数据使用与管理，</w:t>
      </w:r>
      <w:r>
        <w:rPr>
          <w:rFonts w:hint="eastAsia" w:ascii="宋体" w:hAnsi="宋体" w:eastAsia="宋体" w:cs="宋体"/>
          <w:b/>
          <w:bCs w:val="0"/>
          <w:color w:val="000000"/>
          <w:sz w:val="24"/>
          <w:szCs w:val="24"/>
          <w:highlight w:val="none"/>
          <w:u w:val="none"/>
          <w:lang w:val="en-US" w:eastAsia="zh-CN"/>
        </w:rPr>
        <w:t>要求提供承诺函（格式自拟）</w:t>
      </w:r>
      <w:r>
        <w:rPr>
          <w:rFonts w:hint="eastAsia" w:ascii="宋体" w:hAnsi="宋体" w:eastAsia="宋体" w:cs="宋体"/>
          <w:b w:val="0"/>
          <w:bCs/>
          <w:color w:val="000000"/>
          <w:sz w:val="24"/>
          <w:szCs w:val="24"/>
          <w:highlight w:val="none"/>
          <w:u w:val="none"/>
          <w:lang w:val="en-US" w:eastAsia="zh-CN"/>
        </w:rPr>
        <w:t>；</w:t>
      </w:r>
    </w:p>
    <w:p>
      <w:pPr>
        <w:numPr>
          <w:ilvl w:val="0"/>
          <w:numId w:val="4"/>
        </w:numPr>
        <w:spacing w:line="360" w:lineRule="auto"/>
        <w:ind w:left="425" w:leftChars="0" w:hanging="425" w:firstLineChars="0"/>
        <w:rPr>
          <w:rFonts w:hint="eastAsia" w:ascii="宋体" w:hAnsi="宋体" w:eastAsia="宋体" w:cs="宋体"/>
          <w:b w:val="0"/>
          <w:bCs/>
          <w:color w:val="000000"/>
          <w:sz w:val="24"/>
          <w:szCs w:val="24"/>
          <w:highlight w:val="none"/>
          <w:u w:val="none"/>
          <w:lang w:val="en-US" w:eastAsia="zh-CN"/>
        </w:rPr>
      </w:pPr>
      <w:r>
        <w:rPr>
          <w:rFonts w:hint="eastAsia" w:ascii="宋体" w:hAnsi="宋体" w:eastAsia="宋体" w:cs="宋体"/>
          <w:b w:val="0"/>
          <w:bCs/>
          <w:color w:val="000000"/>
          <w:sz w:val="24"/>
          <w:szCs w:val="24"/>
          <w:highlight w:val="none"/>
          <w:u w:val="none"/>
          <w:lang w:val="en-US" w:eastAsia="zh-CN"/>
        </w:rPr>
        <w:t>投标人承诺所投算力资源的通过智能计算GPU虚拟化与性能优化技术要求评估检验，</w:t>
      </w:r>
      <w:r>
        <w:rPr>
          <w:rFonts w:hint="eastAsia" w:ascii="宋体" w:hAnsi="宋体" w:eastAsia="宋体" w:cs="宋体"/>
          <w:b/>
          <w:bCs w:val="0"/>
          <w:color w:val="000000"/>
          <w:sz w:val="24"/>
          <w:szCs w:val="24"/>
          <w:highlight w:val="none"/>
          <w:u w:val="none"/>
          <w:lang w:val="en-US" w:eastAsia="zh-CN"/>
        </w:rPr>
        <w:t>要求提供承诺函（格式自拟）</w:t>
      </w:r>
      <w:r>
        <w:rPr>
          <w:rFonts w:hint="eastAsia" w:ascii="宋体" w:hAnsi="宋体" w:eastAsia="宋体" w:cs="宋体"/>
          <w:b w:val="0"/>
          <w:bCs/>
          <w:color w:val="000000"/>
          <w:sz w:val="24"/>
          <w:szCs w:val="24"/>
          <w:highlight w:val="none"/>
          <w:u w:val="none"/>
          <w:lang w:val="en-US" w:eastAsia="zh-CN"/>
        </w:rPr>
        <w:t>；</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auto"/>
          <w:sz w:val="24"/>
          <w:szCs w:val="24"/>
          <w:highlight w:val="none"/>
          <w:lang w:val="en-US" w:eastAsia="zh-CN"/>
        </w:rPr>
      </w:pPr>
    </w:p>
    <w:p>
      <w:pPr>
        <w:spacing w:line="360" w:lineRule="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2.SDWAN专线技术参数要求：</w:t>
      </w:r>
    </w:p>
    <w:p>
      <w:pPr>
        <w:numPr>
          <w:ilvl w:val="0"/>
          <w:numId w:val="5"/>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速率 ≥100M；</w:t>
      </w:r>
    </w:p>
    <w:p>
      <w:pPr>
        <w:numPr>
          <w:ilvl w:val="0"/>
          <w:numId w:val="5"/>
        </w:numPr>
        <w:spacing w:line="360" w:lineRule="auto"/>
        <w:ind w:left="425" w:leftChars="0" w:hanging="425" w:firstLineChars="0"/>
        <w:rPr>
          <w:rFonts w:hint="eastAsia" w:ascii="宋体" w:hAnsi="宋体" w:eastAsia="宋体" w:cs="宋体"/>
          <w:b/>
          <w:bCs w:val="0"/>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部署于用户侧的CPE支持硬件或虚拟化设备，虚拟化CPE需支持在国产化操作系统中部署；</w:t>
      </w:r>
    </w:p>
    <w:p>
      <w:pPr>
        <w:numPr>
          <w:ilvl w:val="0"/>
          <w:numId w:val="5"/>
        </w:numPr>
        <w:spacing w:line="360" w:lineRule="auto"/>
        <w:ind w:left="425" w:leftChars="0" w:hanging="425" w:firstLineChars="0"/>
        <w:rPr>
          <w:rFonts w:hint="eastAsia"/>
          <w:highlight w:val="none"/>
          <w:lang w:val="en-US" w:eastAsia="zh-CN"/>
        </w:rPr>
      </w:pPr>
      <w:r>
        <w:rPr>
          <w:rFonts w:hint="eastAsia" w:ascii="宋体" w:hAnsi="宋体" w:eastAsia="宋体" w:cs="宋体"/>
          <w:b w:val="0"/>
          <w:bCs/>
          <w:color w:val="auto"/>
          <w:sz w:val="24"/>
          <w:szCs w:val="24"/>
          <w:highlight w:val="none"/>
          <w:u w:val="none"/>
          <w:lang w:val="en-US" w:eastAsia="zh-CN"/>
        </w:rPr>
        <w:t>具备独立运营的自有SDWAN骨干网，骨干网POP节点数量不少于80组；</w:t>
      </w:r>
    </w:p>
    <w:p>
      <w:pPr>
        <w:numPr>
          <w:ilvl w:val="0"/>
          <w:numId w:val="5"/>
        </w:numPr>
        <w:spacing w:line="360" w:lineRule="auto"/>
        <w:ind w:left="425" w:leftChars="0" w:hanging="425" w:firstLineChars="0"/>
        <w:rPr>
          <w:rFonts w:hint="eastAsia"/>
          <w:highlight w:val="none"/>
          <w:lang w:val="en-US" w:eastAsia="zh-CN"/>
        </w:rPr>
      </w:pPr>
      <w:r>
        <w:rPr>
          <w:rFonts w:hint="eastAsia" w:ascii="宋体" w:hAnsi="宋体" w:cs="宋体"/>
          <w:b w:val="0"/>
          <w:bCs/>
          <w:color w:val="auto"/>
          <w:sz w:val="24"/>
          <w:szCs w:val="24"/>
          <w:highlight w:val="none"/>
          <w:u w:val="none"/>
          <w:lang w:val="en-US" w:eastAsia="zh-CN"/>
        </w:rPr>
        <w:t>部署</w:t>
      </w:r>
      <w:r>
        <w:rPr>
          <w:rFonts w:hint="eastAsia" w:ascii="宋体" w:hAnsi="宋体" w:eastAsia="宋体" w:cs="宋体"/>
          <w:b w:val="0"/>
          <w:bCs/>
          <w:color w:val="auto"/>
          <w:sz w:val="24"/>
          <w:szCs w:val="24"/>
          <w:highlight w:val="none"/>
          <w:u w:val="none"/>
          <w:lang w:val="en-US" w:eastAsia="zh-CN"/>
        </w:rPr>
        <w:t>于用户侧的</w:t>
      </w:r>
      <w:r>
        <w:rPr>
          <w:rFonts w:hint="eastAsia" w:ascii="宋体" w:hAnsi="宋体" w:eastAsia="宋体" w:cs="宋体"/>
          <w:b w:val="0"/>
          <w:bCs/>
          <w:color w:val="auto"/>
          <w:sz w:val="24"/>
          <w:szCs w:val="24"/>
          <w:highlight w:val="none"/>
          <w:lang w:val="en-US" w:eastAsia="zh-CN"/>
        </w:rPr>
        <w:t>CPE 设备采用国产商用密码算法（SM4）进行加密，并通过商用密码产品认证，以满足采购人密评工作要求；</w:t>
      </w:r>
    </w:p>
    <w:p>
      <w:pPr>
        <w:numPr>
          <w:ilvl w:val="0"/>
          <w:numId w:val="5"/>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提供每POP点不低于5G的POP点IPSEC隧道性能；</w:t>
      </w:r>
    </w:p>
    <w:p>
      <w:pPr>
        <w:numPr>
          <w:ilvl w:val="0"/>
          <w:numId w:val="5"/>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支持dns报文劫持，指定dns server；</w:t>
      </w:r>
    </w:p>
    <w:p>
      <w:pPr>
        <w:numPr>
          <w:ilvl w:val="0"/>
          <w:numId w:val="5"/>
        </w:numPr>
        <w:spacing w:line="360" w:lineRule="auto"/>
        <w:ind w:left="425" w:leftChars="0" w:hanging="425" w:firstLineChars="0"/>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SDWAN具备管理系统、智能选路、流量识别、安全访问控制、链路探测、远程升级等核心功能模块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3"/>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3</w:t>
      </w:r>
      <w:r>
        <w:rPr>
          <w:rFonts w:hint="eastAsia" w:ascii="宋体" w:hAnsi="宋体" w:eastAsia="宋体" w:cs="宋体"/>
          <w:b/>
          <w:color w:val="auto"/>
          <w:sz w:val="24"/>
          <w:szCs w:val="24"/>
          <w:highlight w:val="none"/>
          <w:lang w:val="en-US" w:eastAsia="zh-CN"/>
        </w:rPr>
        <w:t>.其他要求</w:t>
      </w:r>
    </w:p>
    <w:p>
      <w:pPr>
        <w:numPr>
          <w:ilvl w:val="0"/>
          <w:numId w:val="6"/>
        </w:numPr>
        <w:spacing w:line="360" w:lineRule="auto"/>
        <w:ind w:left="425" w:leftChars="0" w:hanging="425" w:firstLineChars="0"/>
        <w:rPr>
          <w:rFonts w:hint="default" w:ascii="宋体" w:hAnsi="宋体" w:eastAsia="宋体" w:cs="宋体"/>
          <w:b w:val="0"/>
          <w:bCs/>
          <w:color w:val="auto"/>
          <w:sz w:val="24"/>
          <w:szCs w:val="24"/>
          <w:highlight w:val="none"/>
          <w:u w:val="none"/>
          <w:lang w:val="en-US" w:eastAsia="zh-CN"/>
        </w:rPr>
      </w:pPr>
      <w:r>
        <w:rPr>
          <w:rFonts w:hint="default" w:ascii="宋体" w:hAnsi="宋体" w:eastAsia="宋体" w:cs="宋体"/>
          <w:b w:val="0"/>
          <w:bCs/>
          <w:color w:val="auto"/>
          <w:sz w:val="24"/>
          <w:szCs w:val="24"/>
          <w:highlight w:val="none"/>
          <w:u w:val="none"/>
          <w:lang w:val="en-US" w:eastAsia="zh-CN"/>
        </w:rPr>
        <w:t>为确保兼容性，</w:t>
      </w:r>
      <w:r>
        <w:rPr>
          <w:rFonts w:hint="eastAsia" w:ascii="宋体" w:hAnsi="宋体" w:cs="宋体"/>
          <w:b w:val="0"/>
          <w:bCs/>
          <w:color w:val="auto"/>
          <w:sz w:val="24"/>
          <w:szCs w:val="24"/>
          <w:highlight w:val="none"/>
          <w:u w:val="none"/>
          <w:lang w:val="en-US" w:eastAsia="zh-CN"/>
        </w:rPr>
        <w:t>中标人</w:t>
      </w:r>
      <w:r>
        <w:rPr>
          <w:rFonts w:hint="default" w:ascii="宋体" w:hAnsi="宋体" w:eastAsia="宋体" w:cs="宋体"/>
          <w:b w:val="0"/>
          <w:bCs/>
          <w:color w:val="auto"/>
          <w:sz w:val="24"/>
          <w:szCs w:val="24"/>
          <w:highlight w:val="none"/>
          <w:u w:val="none"/>
          <w:lang w:val="en-US" w:eastAsia="zh-CN"/>
        </w:rPr>
        <w:t>本次提供的产品应为同一原厂商</w:t>
      </w:r>
      <w:r>
        <w:rPr>
          <w:rFonts w:hint="eastAsia" w:ascii="宋体" w:hAnsi="宋体" w:cs="宋体"/>
          <w:b w:val="0"/>
          <w:bCs/>
          <w:color w:val="auto"/>
          <w:sz w:val="24"/>
          <w:szCs w:val="24"/>
          <w:highlight w:val="none"/>
          <w:u w:val="none"/>
          <w:lang w:val="en-US" w:eastAsia="zh-CN"/>
        </w:rPr>
        <w:t>。</w:t>
      </w:r>
    </w:p>
    <w:p>
      <w:pPr>
        <w:numPr>
          <w:ilvl w:val="0"/>
          <w:numId w:val="6"/>
        </w:numPr>
        <w:spacing w:line="360" w:lineRule="auto"/>
        <w:ind w:left="425" w:leftChars="0" w:hanging="425" w:firstLineChars="0"/>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中标人需安排专门的客户经理负责联系；</w:t>
      </w:r>
    </w:p>
    <w:p>
      <w:pPr>
        <w:numPr>
          <w:ilvl w:val="0"/>
          <w:numId w:val="6"/>
        </w:numPr>
        <w:spacing w:line="360" w:lineRule="auto"/>
        <w:ind w:left="425" w:leftChars="0" w:hanging="425" w:firstLineChars="0"/>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服务期内未经告知采购人并进行协商的情况下，不允许擅自中断服务；</w:t>
      </w:r>
    </w:p>
    <w:p>
      <w:pPr>
        <w:numPr>
          <w:ilvl w:val="0"/>
          <w:numId w:val="6"/>
        </w:numPr>
        <w:spacing w:line="360" w:lineRule="auto"/>
        <w:ind w:left="425" w:leftChars="0" w:hanging="425" w:firstLineChars="0"/>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中标人需提供良好的服务体系和完善的投诉渠道；</w:t>
      </w:r>
    </w:p>
    <w:p>
      <w:pPr>
        <w:numPr>
          <w:ilvl w:val="0"/>
          <w:numId w:val="6"/>
        </w:numPr>
        <w:spacing w:line="360" w:lineRule="auto"/>
        <w:ind w:left="425" w:leftChars="0" w:hanging="425" w:firstLineChars="0"/>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中标人提供7*24小时故障申告服务，对故障的响应时间不超过10分钟，中标人在接到客户报障后，60分钟内给予客户关于故障处理及进展情况的响应</w:t>
      </w:r>
      <w:r>
        <w:rPr>
          <w:rFonts w:hint="eastAsia" w:ascii="宋体" w:hAnsi="宋体" w:cs="宋体"/>
          <w:b w:val="0"/>
          <w:bCs/>
          <w:color w:val="auto"/>
          <w:sz w:val="24"/>
          <w:szCs w:val="24"/>
          <w:highlight w:val="none"/>
          <w:u w:val="none"/>
          <w:lang w:val="en-US" w:eastAsia="zh-CN"/>
        </w:rPr>
        <w:t>。</w:t>
      </w:r>
    </w:p>
    <w:sectPr>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lvlText w:val="%1)"/>
      <w:lvlJc w:val="left"/>
      <w:pPr>
        <w:ind w:left="425" w:hanging="425"/>
      </w:pPr>
      <w:rPr>
        <w:rFonts w:hint="default"/>
        <w:b w:val="0"/>
        <w:bCs w:val="0"/>
      </w:rPr>
    </w:lvl>
  </w:abstractNum>
  <w:abstractNum w:abstractNumId="1">
    <w:nsid w:val="00000001"/>
    <w:multiLevelType w:val="singleLevel"/>
    <w:tmpl w:val="00000001"/>
    <w:lvl w:ilvl="0" w:tentative="0">
      <w:start w:val="1"/>
      <w:numFmt w:val="decimal"/>
      <w:lvlText w:val="%1)"/>
      <w:lvlJc w:val="left"/>
      <w:pPr>
        <w:ind w:left="425" w:hanging="425"/>
      </w:pPr>
      <w:rPr>
        <w:rFonts w:hint="default"/>
        <w:b w:val="0"/>
        <w:bCs w:val="0"/>
      </w:rPr>
    </w:lvl>
  </w:abstractNum>
  <w:abstractNum w:abstractNumId="2">
    <w:nsid w:val="00000002"/>
    <w:multiLevelType w:val="multilevel"/>
    <w:tmpl w:val="00000002"/>
    <w:lvl w:ilvl="0" w:tentative="0">
      <w:start w:val="1"/>
      <w:numFmt w:val="decimal"/>
      <w:lvlText w:val="%1."/>
      <w:lvlJc w:val="left"/>
      <w:pPr>
        <w:ind w:left="425" w:hanging="425"/>
      </w:pPr>
      <w:rPr>
        <w:rFonts w:hint="default"/>
      </w:rPr>
    </w:lvl>
    <w:lvl w:ilvl="1" w:tentative="0">
      <w:start w:val="1"/>
      <w:numFmt w:val="decimal"/>
      <w:isLgl/>
      <w:lvlText w:val="%1.%2."/>
      <w:lvlJc w:val="left"/>
      <w:pPr>
        <w:ind w:left="567" w:hanging="567"/>
      </w:pPr>
      <w:rPr>
        <w:rFonts w:hint="default" w:ascii="宋体" w:hAnsi="宋体" w:eastAsia="宋体" w:cs="宋体"/>
      </w:rPr>
    </w:lvl>
    <w:lvl w:ilvl="2" w:tentative="0">
      <w:start w:val="1"/>
      <w:numFmt w:val="decimal"/>
      <w:isLgl/>
      <w:lvlText w:val="%1.%2.%3."/>
      <w:lvlJc w:val="left"/>
      <w:pPr>
        <w:ind w:left="709" w:hanging="709"/>
      </w:pPr>
      <w:rPr>
        <w:rFonts w:hint="default" w:ascii="宋体" w:hAnsi="宋体" w:eastAsia="宋体" w:cs="宋体"/>
      </w:rPr>
    </w:lvl>
    <w:lvl w:ilvl="3" w:tentative="0">
      <w:start w:val="1"/>
      <w:numFmt w:val="decimal"/>
      <w:isLgl/>
      <w:lvlText w:val="%1.%2.%3.%4."/>
      <w:lvlJc w:val="left"/>
      <w:pPr>
        <w:ind w:left="850" w:hanging="850"/>
      </w:pPr>
      <w:rPr>
        <w:rFonts w:hint="default" w:ascii="宋体" w:hAnsi="宋体" w:eastAsia="宋体" w:cs="宋体"/>
      </w:rPr>
    </w:lvl>
    <w:lvl w:ilvl="4" w:tentative="0">
      <w:start w:val="1"/>
      <w:numFmt w:val="decimal"/>
      <w:isLgl/>
      <w:lvlText w:val="%1.%2.%3.%4.%5."/>
      <w:lvlJc w:val="left"/>
      <w:pPr>
        <w:ind w:left="991" w:hanging="991"/>
      </w:pPr>
      <w:rPr>
        <w:rFonts w:hint="default" w:ascii="宋体" w:hAnsi="宋体" w:eastAsia="宋体" w:cs="宋体"/>
      </w:rPr>
    </w:lvl>
    <w:lvl w:ilvl="5" w:tentative="0">
      <w:start w:val="1"/>
      <w:numFmt w:val="decimal"/>
      <w:pStyle w:val="8"/>
      <w:isLgl/>
      <w:lvlText w:val="%1.%2.%3.%4.%5.%6."/>
      <w:lvlJc w:val="left"/>
      <w:pPr>
        <w:ind w:left="1134" w:hanging="1134"/>
      </w:pPr>
      <w:rPr>
        <w:rFonts w:hint="default" w:ascii="宋体" w:hAnsi="宋体" w:eastAsia="宋体" w:cs="宋体"/>
      </w:rPr>
    </w:lvl>
    <w:lvl w:ilvl="6" w:tentative="0">
      <w:start w:val="1"/>
      <w:numFmt w:val="decimal"/>
      <w:pStyle w:val="9"/>
      <w:isLgl/>
      <w:lvlText w:val="%1.%2.%3.%4.%5.%6.%7."/>
      <w:lvlJc w:val="left"/>
      <w:pPr>
        <w:ind w:left="1275" w:hanging="1275"/>
      </w:pPr>
      <w:rPr>
        <w:rFonts w:hint="default" w:ascii="宋体" w:hAnsi="宋体" w:eastAsia="宋体" w:cs="宋体"/>
      </w:rPr>
    </w:lvl>
    <w:lvl w:ilvl="7" w:tentative="0">
      <w:start w:val="1"/>
      <w:numFmt w:val="decimal"/>
      <w:pStyle w:val="10"/>
      <w:isLgl/>
      <w:lvlText w:val="%1.%2.%3.%4.%5.%6.%7.%8."/>
      <w:lvlJc w:val="left"/>
      <w:pPr>
        <w:ind w:left="1418" w:hanging="1418"/>
      </w:pPr>
      <w:rPr>
        <w:rFonts w:hint="default" w:ascii="宋体" w:hAnsi="宋体" w:eastAsia="宋体" w:cs="宋体"/>
      </w:rPr>
    </w:lvl>
    <w:lvl w:ilvl="8" w:tentative="0">
      <w:start w:val="1"/>
      <w:numFmt w:val="decimal"/>
      <w:pStyle w:val="11"/>
      <w:isLgl/>
      <w:lvlText w:val="%1.%2.%3.%4.%5.%6.%7.%8.%9."/>
      <w:lvlJc w:val="left"/>
      <w:pPr>
        <w:ind w:left="1558" w:hanging="1558"/>
      </w:pPr>
      <w:rPr>
        <w:rFonts w:hint="default" w:ascii="宋体" w:hAnsi="宋体" w:eastAsia="宋体" w:cs="宋体"/>
      </w:rPr>
    </w:lvl>
  </w:abstractNum>
  <w:abstractNum w:abstractNumId="3">
    <w:nsid w:val="00000003"/>
    <w:multiLevelType w:val="multilevel"/>
    <w:tmpl w:val="00000003"/>
    <w:lvl w:ilvl="0" w:tentative="0">
      <w:start w:val="1"/>
      <w:numFmt w:val="decimal"/>
      <w:pStyle w:val="3"/>
      <w:isLgl/>
      <w:lvlText w:val="%1."/>
      <w:lvlJc w:val="left"/>
      <w:pPr>
        <w:ind w:left="425" w:hanging="425"/>
      </w:pPr>
      <w:rPr>
        <w:rFonts w:hint="default" w:ascii="宋体" w:hAnsi="宋体" w:eastAsia="宋体" w:cs="宋体"/>
      </w:rPr>
    </w:lvl>
    <w:lvl w:ilvl="1" w:tentative="0">
      <w:start w:val="1"/>
      <w:numFmt w:val="decimal"/>
      <w:pStyle w:val="4"/>
      <w:isLgl/>
      <w:lvlText w:val="%1.%2."/>
      <w:lvlJc w:val="left"/>
      <w:pPr>
        <w:ind w:left="567" w:hanging="567"/>
      </w:pPr>
      <w:rPr>
        <w:rFonts w:hint="default" w:ascii="宋体" w:hAnsi="宋体" w:eastAsia="宋体" w:cs="宋体"/>
      </w:rPr>
    </w:lvl>
    <w:lvl w:ilvl="2" w:tentative="0">
      <w:start w:val="1"/>
      <w:numFmt w:val="decimal"/>
      <w:pStyle w:val="5"/>
      <w:isLgl/>
      <w:lvlText w:val="%1.%2.%3."/>
      <w:lvlJc w:val="left"/>
      <w:pPr>
        <w:ind w:left="709" w:hanging="709"/>
      </w:pPr>
      <w:rPr>
        <w:rFonts w:hint="default" w:ascii="宋体" w:hAnsi="宋体" w:eastAsia="宋体" w:cs="宋体"/>
      </w:rPr>
    </w:lvl>
    <w:lvl w:ilvl="3" w:tentative="0">
      <w:start w:val="1"/>
      <w:numFmt w:val="decimal"/>
      <w:isLgl/>
      <w:lvlText w:val="%1.%2.%3.%4."/>
      <w:lvlJc w:val="left"/>
      <w:pPr>
        <w:ind w:left="850" w:hanging="850"/>
      </w:pPr>
      <w:rPr>
        <w:rFonts w:hint="default" w:ascii="宋体" w:hAnsi="宋体" w:eastAsia="宋体" w:cs="宋体"/>
      </w:rPr>
    </w:lvl>
    <w:lvl w:ilvl="4" w:tentative="0">
      <w:start w:val="1"/>
      <w:numFmt w:val="decimal"/>
      <w:pStyle w:val="7"/>
      <w:isLgl/>
      <w:lvlText w:val="%1.%2.%3.%4.%5."/>
      <w:lvlJc w:val="left"/>
      <w:pPr>
        <w:ind w:left="991" w:hanging="991"/>
      </w:pPr>
      <w:rPr>
        <w:rFonts w:hint="default" w:ascii="宋体" w:hAnsi="宋体" w:eastAsia="宋体" w:cs="宋体"/>
      </w:rPr>
    </w:lvl>
    <w:lvl w:ilvl="5" w:tentative="0">
      <w:start w:val="1"/>
      <w:numFmt w:val="decimal"/>
      <w:isLgl/>
      <w:lvlText w:val="%1.%2.%3.%4.%5.%6."/>
      <w:lvlJc w:val="left"/>
      <w:pPr>
        <w:ind w:left="1134" w:hanging="1134"/>
      </w:pPr>
      <w:rPr>
        <w:rFonts w:hint="default" w:ascii="宋体" w:hAnsi="宋体" w:eastAsia="宋体" w:cs="宋体"/>
      </w:rPr>
    </w:lvl>
    <w:lvl w:ilvl="6" w:tentative="0">
      <w:start w:val="1"/>
      <w:numFmt w:val="decimal"/>
      <w:isLgl/>
      <w:lvlText w:val="%1.%2.%3.%4.%5.%6.%7."/>
      <w:lvlJc w:val="left"/>
      <w:pPr>
        <w:ind w:left="1275" w:hanging="1275"/>
      </w:pPr>
      <w:rPr>
        <w:rFonts w:hint="default" w:ascii="宋体" w:hAnsi="宋体" w:eastAsia="宋体" w:cs="宋体"/>
      </w:rPr>
    </w:lvl>
    <w:lvl w:ilvl="7" w:tentative="0">
      <w:start w:val="1"/>
      <w:numFmt w:val="decimal"/>
      <w:isLgl/>
      <w:lvlText w:val="%1.%2.%3.%4.%5.%6.%7.%8."/>
      <w:lvlJc w:val="left"/>
      <w:pPr>
        <w:ind w:left="1418" w:hanging="1418"/>
      </w:pPr>
      <w:rPr>
        <w:rFonts w:hint="default" w:ascii="宋体" w:hAnsi="宋体" w:eastAsia="宋体" w:cs="宋体"/>
      </w:rPr>
    </w:lvl>
    <w:lvl w:ilvl="8" w:tentative="0">
      <w:start w:val="1"/>
      <w:numFmt w:val="decimal"/>
      <w:isLgl/>
      <w:lvlText w:val="%1.%2.%3.%4.%5.%6.%7.%8.%9."/>
      <w:lvlJc w:val="left"/>
      <w:pPr>
        <w:ind w:left="1558" w:hanging="1558"/>
      </w:pPr>
      <w:rPr>
        <w:rFonts w:hint="default" w:ascii="宋体" w:hAnsi="宋体" w:eastAsia="宋体" w:cs="宋体"/>
      </w:rPr>
    </w:lvl>
  </w:abstractNum>
  <w:abstractNum w:abstractNumId="4">
    <w:nsid w:val="00000005"/>
    <w:multiLevelType w:val="singleLevel"/>
    <w:tmpl w:val="00000005"/>
    <w:lvl w:ilvl="0" w:tentative="0">
      <w:start w:val="1"/>
      <w:numFmt w:val="decimal"/>
      <w:lvlText w:val="%1)"/>
      <w:lvlJc w:val="left"/>
      <w:pPr>
        <w:ind w:left="425" w:hanging="425"/>
      </w:pPr>
      <w:rPr>
        <w:rFonts w:hint="default" w:ascii="宋体" w:hAnsi="宋体" w:eastAsia="宋体" w:cs="宋体"/>
        <w:b w:val="0"/>
        <w:bCs w:val="0"/>
        <w:sz w:val="24"/>
        <w:szCs w:val="24"/>
      </w:rPr>
    </w:lvl>
  </w:abstractNum>
  <w:abstractNum w:abstractNumId="5">
    <w:nsid w:val="00000006"/>
    <w:multiLevelType w:val="multilevel"/>
    <w:tmpl w:val="00000006"/>
    <w:lvl w:ilvl="0" w:tentative="0">
      <w:start w:val="1"/>
      <w:numFmt w:val="chineseCounting"/>
      <w:suff w:val="nothing"/>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isLgl/>
      <w:lvlText w:val="%1.%2.%3."/>
      <w:lvlJc w:val="left"/>
      <w:pPr>
        <w:ind w:left="709" w:hanging="709"/>
      </w:pPr>
      <w:rPr>
        <w:rFonts w:hint="eastAsia"/>
      </w:rPr>
    </w:lvl>
    <w:lvl w:ilvl="3" w:tentative="0">
      <w:start w:val="1"/>
      <w:numFmt w:val="decimal"/>
      <w:pStyle w:val="6"/>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1D6F7D"/>
    <w:rsid w:val="1293366F"/>
    <w:rsid w:val="3F567255"/>
    <w:rsid w:val="40080448"/>
    <w:rsid w:val="5E5314F9"/>
    <w:rsid w:val="7CCF3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beforeAutospacing="0" w:after="330" w:afterAutospacing="0" w:line="576" w:lineRule="auto"/>
      <w:ind w:left="425" w:hanging="425"/>
      <w:outlineLvl w:val="0"/>
    </w:pPr>
    <w:rPr>
      <w:b/>
      <w:kern w:val="44"/>
      <w:sz w:val="44"/>
    </w:rPr>
  </w:style>
  <w:style w:type="paragraph" w:styleId="4">
    <w:name w:val="heading 2"/>
    <w:basedOn w:val="5"/>
    <w:next w:val="1"/>
    <w:link w:val="17"/>
    <w:qFormat/>
    <w:uiPriority w:val="0"/>
    <w:pPr>
      <w:keepNext/>
      <w:keepLines/>
      <w:numPr>
        <w:ilvl w:val="1"/>
        <w:numId w:val="1"/>
      </w:numPr>
      <w:spacing w:before="260" w:beforeAutospacing="0" w:after="260" w:afterAutospacing="0" w:line="413" w:lineRule="auto"/>
      <w:outlineLvl w:val="1"/>
    </w:pPr>
    <w:rPr>
      <w:rFonts w:ascii="Arial" w:hAnsi="Arial" w:eastAsia="黑体" w:cs="Times New Roman"/>
    </w:rPr>
  </w:style>
  <w:style w:type="paragraph" w:styleId="5">
    <w:name w:val="heading 3"/>
    <w:basedOn w:val="1"/>
    <w:next w:val="1"/>
    <w:qFormat/>
    <w:uiPriority w:val="0"/>
    <w:pPr>
      <w:keepNext/>
      <w:keepLines/>
      <w:numPr>
        <w:ilvl w:val="2"/>
        <w:numId w:val="1"/>
      </w:numPr>
      <w:spacing w:before="260" w:beforeAutospacing="0" w:after="260" w:afterAutospacing="0" w:line="413" w:lineRule="auto"/>
      <w:ind w:left="709" w:hanging="709"/>
      <w:outlineLvl w:val="2"/>
    </w:pPr>
    <w:rPr>
      <w:b/>
      <w:sz w:val="32"/>
    </w:rPr>
  </w:style>
  <w:style w:type="paragraph" w:styleId="6">
    <w:name w:val="heading 4"/>
    <w:basedOn w:val="5"/>
    <w:next w:val="1"/>
    <w:link w:val="18"/>
    <w:qFormat/>
    <w:uiPriority w:val="0"/>
    <w:pPr>
      <w:numPr>
        <w:ilvl w:val="3"/>
        <w:numId w:val="2"/>
      </w:numPr>
      <w:outlineLvl w:val="3"/>
    </w:pPr>
    <w:rPr>
      <w:rFonts w:ascii="Calibri Light" w:hAnsi="Calibri Light" w:eastAsia="宋体" w:cs="宋体"/>
      <w:sz w:val="28"/>
      <w:szCs w:val="28"/>
    </w:rPr>
  </w:style>
  <w:style w:type="paragraph" w:styleId="7">
    <w:name w:val="heading 5"/>
    <w:basedOn w:val="1"/>
    <w:next w:val="1"/>
    <w:qFormat/>
    <w:uiPriority w:val="0"/>
    <w:pPr>
      <w:keepNext/>
      <w:keepLines/>
      <w:numPr>
        <w:ilvl w:val="4"/>
        <w:numId w:val="1"/>
      </w:numPr>
      <w:spacing w:before="280" w:beforeAutospacing="0" w:after="290" w:afterAutospacing="0" w:line="372" w:lineRule="auto"/>
      <w:ind w:left="991" w:hanging="991"/>
      <w:outlineLvl w:val="4"/>
    </w:pPr>
    <w:rPr>
      <w:b/>
      <w:sz w:val="28"/>
    </w:rPr>
  </w:style>
  <w:style w:type="paragraph" w:styleId="8">
    <w:name w:val="heading 6"/>
    <w:basedOn w:val="1"/>
    <w:next w:val="1"/>
    <w:qFormat/>
    <w:uiPriority w:val="0"/>
    <w:pPr>
      <w:keepNext/>
      <w:keepLines/>
      <w:numPr>
        <w:ilvl w:val="5"/>
        <w:numId w:val="3"/>
      </w:numPr>
      <w:spacing w:before="240" w:beforeAutospacing="0" w:after="64" w:afterAutospacing="0" w:line="317" w:lineRule="auto"/>
      <w:ind w:left="1134" w:hanging="1134"/>
      <w:outlineLvl w:val="5"/>
    </w:pPr>
    <w:rPr>
      <w:rFonts w:ascii="Arial" w:hAnsi="Arial" w:eastAsia="黑体"/>
      <w:b/>
      <w:sz w:val="24"/>
    </w:rPr>
  </w:style>
  <w:style w:type="paragraph" w:styleId="9">
    <w:name w:val="heading 7"/>
    <w:basedOn w:val="1"/>
    <w:next w:val="1"/>
    <w:qFormat/>
    <w:uiPriority w:val="0"/>
    <w:pPr>
      <w:keepNext/>
      <w:keepLines/>
      <w:numPr>
        <w:ilvl w:val="6"/>
        <w:numId w:val="3"/>
      </w:numPr>
      <w:spacing w:before="240" w:beforeAutospacing="0" w:after="64" w:afterAutospacing="0" w:line="317" w:lineRule="auto"/>
      <w:ind w:left="1275" w:hanging="1275"/>
      <w:outlineLvl w:val="6"/>
    </w:pPr>
    <w:rPr>
      <w:b/>
      <w:sz w:val="24"/>
    </w:rPr>
  </w:style>
  <w:style w:type="paragraph" w:styleId="10">
    <w:name w:val="heading 8"/>
    <w:basedOn w:val="1"/>
    <w:next w:val="1"/>
    <w:qFormat/>
    <w:uiPriority w:val="0"/>
    <w:pPr>
      <w:keepNext/>
      <w:keepLines/>
      <w:numPr>
        <w:ilvl w:val="7"/>
        <w:numId w:val="3"/>
      </w:numPr>
      <w:spacing w:before="240" w:beforeAutospacing="0" w:after="64" w:afterAutospacing="0" w:line="317" w:lineRule="auto"/>
      <w:ind w:left="1418" w:hanging="1418"/>
      <w:outlineLvl w:val="7"/>
    </w:pPr>
    <w:rPr>
      <w:rFonts w:ascii="Arial" w:hAnsi="Arial" w:eastAsia="黑体"/>
      <w:sz w:val="24"/>
    </w:rPr>
  </w:style>
  <w:style w:type="paragraph" w:styleId="11">
    <w:name w:val="heading 9"/>
    <w:basedOn w:val="1"/>
    <w:next w:val="1"/>
    <w:qFormat/>
    <w:uiPriority w:val="0"/>
    <w:pPr>
      <w:keepNext/>
      <w:keepLines/>
      <w:numPr>
        <w:ilvl w:val="8"/>
        <w:numId w:val="3"/>
      </w:numPr>
      <w:spacing w:before="240" w:beforeAutospacing="0" w:after="64" w:afterAutospacing="0" w:line="317" w:lineRule="auto"/>
      <w:ind w:left="1558" w:hanging="1558"/>
      <w:outlineLvl w:val="8"/>
    </w:pPr>
    <w:rPr>
      <w:rFonts w:ascii="Arial" w:hAnsi="Arial" w:eastAsia="黑体"/>
      <w:sz w:val="21"/>
    </w:rPr>
  </w:style>
  <w:style w:type="character" w:default="1" w:styleId="15">
    <w:name w:val="Default Paragraph Font"/>
    <w:qFormat/>
    <w:uiPriority w:val="1"/>
  </w:style>
  <w:style w:type="table" w:default="1" w:styleId="14">
    <w:name w:val="Normal Table"/>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黑体" w:hAnsi="Courier New" w:eastAsia="黑体"/>
      <w:sz w:val="30"/>
      <w:shd w:val="pct10" w:color="auto" w:fill="FFFFFF"/>
    </w:rPr>
  </w:style>
  <w:style w:type="paragraph" w:styleId="12">
    <w:name w:val="annotation text"/>
    <w:basedOn w:val="1"/>
    <w:qFormat/>
    <w:uiPriority w:val="0"/>
    <w:pPr>
      <w:jc w:val="left"/>
    </w:pPr>
  </w:style>
  <w:style w:type="paragraph" w:styleId="13">
    <w:name w:val="Normal (Web)"/>
    <w:basedOn w:val="1"/>
    <w:qFormat/>
    <w:uiPriority w:val="0"/>
    <w:pPr>
      <w:spacing w:before="0" w:beforeAutospacing="1" w:after="0" w:afterAutospacing="1"/>
      <w:ind w:left="0" w:right="0"/>
      <w:jc w:val="left"/>
    </w:pPr>
    <w:rPr>
      <w:kern w:val="0"/>
      <w:sz w:val="24"/>
      <w:lang w:val="en-US" w:eastAsia="zh-CN"/>
    </w:rPr>
  </w:style>
  <w:style w:type="character" w:styleId="16">
    <w:name w:val="Strong"/>
    <w:basedOn w:val="15"/>
    <w:qFormat/>
    <w:uiPriority w:val="0"/>
    <w:rPr>
      <w:b/>
    </w:rPr>
  </w:style>
  <w:style w:type="character" w:customStyle="1" w:styleId="17">
    <w:name w:val="标题 2 Char"/>
    <w:link w:val="4"/>
    <w:qFormat/>
    <w:uiPriority w:val="0"/>
    <w:rPr>
      <w:rFonts w:ascii="Arial" w:hAnsi="Arial" w:eastAsia="黑体" w:cs="Times New Roman"/>
      <w:b/>
      <w:sz w:val="32"/>
    </w:rPr>
  </w:style>
  <w:style w:type="character" w:customStyle="1" w:styleId="18">
    <w:name w:val="标题 4 字符"/>
    <w:basedOn w:val="15"/>
    <w:link w:val="6"/>
    <w:autoRedefine/>
    <w:qFormat/>
    <w:uiPriority w:val="9"/>
    <w:rPr>
      <w:rFonts w:ascii="Calibri Light" w:hAnsi="Calibri Light" w:eastAsia="宋体" w:cs="宋体"/>
      <w:b/>
      <w:sz w:val="28"/>
      <w:szCs w:val="28"/>
    </w:rPr>
  </w:style>
  <w:style w:type="paragraph" w:customStyle="1" w:styleId="19">
    <w:name w:val="null3"/>
    <w:qFormat/>
    <w:uiPriority w:val="0"/>
    <w:rPr>
      <w:rFonts w:hint="eastAsia" w:ascii="Calibri" w:hAnsi="Calibri" w:eastAsia="宋体" w:cs="宋体"/>
      <w:lang w:val="en-US" w:bidi="ar-SA"/>
    </w:rPr>
  </w:style>
  <w:style w:type="character" w:customStyle="1" w:styleId="20">
    <w:name w:val="edittexttarea"/>
    <w:basedOn w:val="1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1003</Words>
  <Characters>1171</Characters>
  <Paragraphs>55</Paragraphs>
  <TotalTime>31</TotalTime>
  <ScaleCrop>false</ScaleCrop>
  <LinksUpToDate>false</LinksUpToDate>
  <CharactersWithSpaces>1184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2025-02-13T02:47:00Z</dcterms:created>
  <dc:creator>yanzk</dc:creator>
  <cp:lastModifiedBy>赖丹</cp:lastModifiedBy>
  <dcterms:modified xsi:type="dcterms:W3CDTF">2025-03-12T08:16:40Z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A177D1260ACD44D5B34A70AC13F6A736_13</vt:lpwstr>
  </property>
  <property fmtid="{D5CDD505-2E9C-101B-9397-08002B2CF9AE}" pid="4" name="KSOTemplateDocerSaveRecord">
    <vt:lpwstr>eyJoZGlkIjoiYmJkZjIxNjU1MzIwZWU0ODg5MzUzNmI0NzBjZWQ3Y2MiLCJ1c2VySWQiOiI0MzkyMDE1NjUifQ==</vt:lpwstr>
  </property>
</Properties>
</file>