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AABD">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项目参数</w:t>
      </w:r>
    </w:p>
    <w:tbl>
      <w:tblPr>
        <w:tblStyle w:val="3"/>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494B7587">
        <w:trPr>
          <w:trHeight w:val="962" w:hRule="atLeast"/>
          <w:jc w:val="center"/>
        </w:trPr>
        <w:tc>
          <w:tcPr>
            <w:tcW w:w="1803" w:type="dxa"/>
            <w:vAlign w:val="center"/>
          </w:tcPr>
          <w:p w14:paraId="484B9D19">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54E81505">
            <w:pPr>
              <w:jc w:val="center"/>
              <w:rPr>
                <w:rFonts w:hint="default"/>
                <w:sz w:val="30"/>
                <w:szCs w:val="30"/>
                <w:vertAlign w:val="baseline"/>
                <w:lang w:val="en-US" w:eastAsia="zh-CN"/>
              </w:rPr>
            </w:pPr>
            <w:r>
              <w:rPr>
                <w:rFonts w:hint="eastAsia"/>
                <w:sz w:val="30"/>
                <w:szCs w:val="30"/>
                <w:vertAlign w:val="baseline"/>
                <w:lang w:val="en-US" w:eastAsia="zh-CN"/>
              </w:rPr>
              <w:t>线上预约、缴费流程改造</w:t>
            </w:r>
          </w:p>
        </w:tc>
      </w:tr>
      <w:tr w14:paraId="1F7A7383">
        <w:trPr>
          <w:trHeight w:val="1248" w:hRule="atLeast"/>
          <w:jc w:val="center"/>
        </w:trPr>
        <w:tc>
          <w:tcPr>
            <w:tcW w:w="10039" w:type="dxa"/>
            <w:gridSpan w:val="2"/>
          </w:tcPr>
          <w:p w14:paraId="4DE3D8BA">
            <w:pPr>
              <w:widowControl w:val="0"/>
              <w:numPr>
                <w:ilvl w:val="0"/>
                <w:numId w:val="1"/>
              </w:numPr>
              <w:kinsoku/>
              <w:autoSpaceDE/>
              <w:autoSpaceDN/>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门诊挂号权益判断</w:t>
            </w:r>
          </w:p>
          <w:p w14:paraId="131038AB">
            <w:pPr>
              <w:widowControl w:val="0"/>
              <w:numPr>
                <w:ilvl w:val="0"/>
                <w:numId w:val="2"/>
              </w:numPr>
              <w:kinsoku/>
              <w:autoSpaceDE/>
              <w:autoSpaceDN/>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通过失信平台获取当前就诊人的失信状态信息；</w:t>
            </w:r>
          </w:p>
          <w:p w14:paraId="4FDB9FDF">
            <w:pPr>
              <w:widowControl w:val="0"/>
              <w:numPr>
                <w:ilvl w:val="0"/>
                <w:numId w:val="2"/>
              </w:numPr>
              <w:kinsoku/>
              <w:autoSpaceDE/>
              <w:autoSpaceDN/>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提供失信平台跳转入口，患者可实时查看个人信用状态信息；</w:t>
            </w:r>
          </w:p>
          <w:p w14:paraId="3EE95414">
            <w:pPr>
              <w:widowControl w:val="0"/>
              <w:numPr>
                <w:ilvl w:val="0"/>
                <w:numId w:val="2"/>
              </w:numPr>
              <w:kinsoku/>
              <w:autoSpaceDE/>
              <w:autoSpaceDN/>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判断被授权人是否存在电子健康卡，并对于无电子健康卡的用户，进行电子健康卡建卡授权。</w:t>
            </w:r>
          </w:p>
          <w:p w14:paraId="222005FD">
            <w:pPr>
              <w:widowControl w:val="0"/>
              <w:numPr>
                <w:ilvl w:val="0"/>
                <w:numId w:val="2"/>
              </w:numPr>
              <w:kinsoku/>
              <w:autoSpaceDE/>
              <w:autoSpaceDN/>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权益提示，根据患者的信用信息，</w:t>
            </w:r>
            <w:bookmarkStart w:id="0" w:name="_GoBack"/>
            <w:bookmarkEnd w:id="0"/>
            <w:r>
              <w:rPr>
                <w:rFonts w:hint="eastAsia" w:ascii="宋体" w:hAnsi="宋体" w:eastAsia="宋体" w:cs="宋体"/>
                <w:color w:val="auto"/>
                <w:sz w:val="24"/>
                <w:szCs w:val="24"/>
                <w:lang w:val="en-US" w:eastAsia="zh-CN"/>
              </w:rPr>
              <w:t>在患者操作具体业务环节提示权限信息，如：当患者进行预约挂号操作时，根据患者的信用状态提示是否享有“先诊疗后付费”就医权益。</w:t>
            </w:r>
          </w:p>
          <w:p w14:paraId="4E7EC116">
            <w:pPr>
              <w:widowControl w:val="0"/>
              <w:numPr>
                <w:ilvl w:val="0"/>
                <w:numId w:val="1"/>
              </w:numPr>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预约挂号改造：判断患者是否有院内欠费信息，若有欠费，则要求患者先对此前欠费进行结算后，再执行本次的预约挂号操作。</w:t>
            </w:r>
          </w:p>
          <w:p w14:paraId="7F2F2941">
            <w:pPr>
              <w:widowControl w:val="0"/>
              <w:numPr>
                <w:ilvl w:val="0"/>
                <w:numId w:val="1"/>
              </w:numPr>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预交金退款控制：在门诊充值界面，新增未用完预交金是否14天原路退的控制功能，若患者开启，则对未用完的预交金在14天内原路退回。</w:t>
            </w:r>
          </w:p>
          <w:p w14:paraId="5E457E0B">
            <w:pPr>
              <w:widowControl w:val="0"/>
              <w:numPr>
                <w:ilvl w:val="0"/>
                <w:numId w:val="1"/>
              </w:numPr>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欠费提醒：对于有院内未结算诊查费的患者，在规定时间内进行模版消息推送，提醒患者进行结算缴费。</w:t>
            </w:r>
          </w:p>
          <w:p w14:paraId="12ECB10E">
            <w:pPr>
              <w:widowControl w:val="0"/>
              <w:numPr>
                <w:ilvl w:val="0"/>
                <w:numId w:val="3"/>
              </w:numPr>
              <w:kinsoku/>
              <w:autoSpaceDE/>
              <w:autoSpaceDN/>
              <w:adjustRightInd/>
              <w:snapToGrid/>
              <w:ind w:leftChars="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门诊预交金支付流程改造</w:t>
            </w:r>
          </w:p>
          <w:p w14:paraId="70616668">
            <w:pPr>
              <w:widowControl w:val="0"/>
              <w:numPr>
                <w:ilvl w:val="0"/>
                <w:numId w:val="4"/>
              </w:numPr>
              <w:kinsoku/>
              <w:autoSpaceDE/>
              <w:autoSpaceDN/>
              <w:adjustRightInd/>
              <w:snapToGrid/>
              <w:spacing w:line="360" w:lineRule="auto"/>
              <w:ind w:left="0" w:leftChars="0"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预交金退款申请</w:t>
            </w:r>
          </w:p>
          <w:p w14:paraId="241FAF06">
            <w:pPr>
              <w:widowControl w:val="0"/>
              <w:numPr>
                <w:ilvl w:val="0"/>
                <w:numId w:val="5"/>
              </w:numPr>
              <w:kinsoku/>
              <w:autoSpaceDE/>
              <w:autoSpaceDN/>
              <w:adjustRightInd/>
              <w:snapToGrid/>
              <w:spacing w:line="36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本人申请退款：以就诊人为单位，查询该就诊人所绑定的就诊卡与可退金额，填写收款银行卡信息提交申请退款。</w:t>
            </w:r>
          </w:p>
          <w:p w14:paraId="4485F56C">
            <w:pPr>
              <w:widowControl w:val="0"/>
              <w:numPr>
                <w:ilvl w:val="0"/>
                <w:numId w:val="5"/>
              </w:numPr>
              <w:kinsoku/>
              <w:autoSpaceDE/>
              <w:autoSpaceDN/>
              <w:adjustRightInd/>
              <w:snapToGrid/>
              <w:spacing w:line="360" w:lineRule="auto"/>
              <w:ind w:left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代办退款：他人代办退款，就诊人与银行卡收款人不是同一人，填写代办收款人银行卡信息，同时上传就诊卡本人身份证与代办人身份证信息，并选择代办关系后提交代办申请。</w:t>
            </w:r>
          </w:p>
          <w:p w14:paraId="4C49D78B">
            <w:pPr>
              <w:widowControl w:val="0"/>
              <w:numPr>
                <w:ilvl w:val="0"/>
                <w:numId w:val="5"/>
              </w:numPr>
              <w:kinsoku/>
              <w:autoSpaceDE/>
              <w:autoSpaceDN/>
              <w:adjustRightInd/>
              <w:snapToGrid/>
              <w:spacing w:line="360" w:lineRule="auto"/>
              <w:ind w:left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退款记录查询：可查询当前就诊人所发起的历史退款申请记录、记录对应状态等信息。</w:t>
            </w:r>
          </w:p>
          <w:p w14:paraId="64A21CDD">
            <w:pPr>
              <w:widowControl w:val="0"/>
              <w:numPr>
                <w:ilvl w:val="0"/>
                <w:numId w:val="4"/>
              </w:numPr>
              <w:kinsoku/>
              <w:autoSpaceDE/>
              <w:autoSpaceDN/>
              <w:adjustRightInd/>
              <w:snapToGrid/>
              <w:spacing w:line="360" w:lineRule="auto"/>
              <w:ind w:left="0" w:leftChars="0" w:firstLine="0" w:firstLine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预交金退款申请审核</w:t>
            </w:r>
          </w:p>
          <w:p w14:paraId="62524505">
            <w:pPr>
              <w:widowControl w:val="0"/>
              <w:numPr>
                <w:ilvl w:val="0"/>
                <w:numId w:val="6"/>
              </w:numPr>
              <w:kinsoku/>
              <w:autoSpaceDE/>
              <w:autoSpaceDN/>
              <w:adjustRightInd/>
              <w:snapToGrid/>
              <w:spacing w:line="36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展示历史所有门诊退款申请记录；</w:t>
            </w:r>
          </w:p>
          <w:p w14:paraId="4B5B1FC6">
            <w:pPr>
              <w:widowControl w:val="0"/>
              <w:numPr>
                <w:ilvl w:val="0"/>
                <w:numId w:val="6"/>
              </w:numPr>
              <w:kinsoku/>
              <w:autoSpaceDE/>
              <w:autoSpaceDN/>
              <w:adjustRightInd/>
              <w:snapToGrid/>
              <w:spacing w:line="36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支持按审核结果、患者姓名、手机号、身份证号、时段等条件查询；</w:t>
            </w:r>
          </w:p>
          <w:p w14:paraId="10ACB10B">
            <w:pPr>
              <w:widowControl w:val="0"/>
              <w:numPr>
                <w:ilvl w:val="0"/>
                <w:numId w:val="6"/>
              </w:numPr>
              <w:kinsoku/>
              <w:autoSpaceDE/>
              <w:autoSpaceDN/>
              <w:adjustRightInd/>
              <w:snapToGrid/>
              <w:spacing w:line="36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患者多次申请，支持展示多条记录；</w:t>
            </w:r>
          </w:p>
          <w:p w14:paraId="23C002E6">
            <w:pPr>
              <w:widowControl w:val="0"/>
              <w:numPr>
                <w:ilvl w:val="0"/>
                <w:numId w:val="6"/>
              </w:numPr>
              <w:kinsoku/>
              <w:autoSpaceDE/>
              <w:autoSpaceDN/>
              <w:adjustRightInd/>
              <w:snapToGrid/>
              <w:spacing w:line="360"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支持点击查看申请材料，支持切换查看不同图片，支持打包下载；</w:t>
            </w:r>
          </w:p>
          <w:p w14:paraId="2049A3C5">
            <w:pPr>
              <w:widowControl w:val="0"/>
              <w:numPr>
                <w:ilvl w:val="0"/>
                <w:numId w:val="6"/>
              </w:numPr>
              <w:kinsoku/>
              <w:autoSpaceDE/>
              <w:autoSpaceDN/>
              <w:adjustRightInd/>
              <w:snapToGrid/>
              <w:spacing w:line="360" w:lineRule="auto"/>
              <w:ind w:left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支持以PDF格式导出每一条申请记录及相关信息且患者上传的身份证和银行卡以</w:t>
            </w:r>
          </w:p>
          <w:p w14:paraId="7E504183">
            <w:pPr>
              <w:widowControl w:val="0"/>
              <w:numPr>
                <w:ilvl w:val="0"/>
                <w:numId w:val="4"/>
              </w:numPr>
              <w:kinsoku/>
              <w:autoSpaceDE/>
              <w:autoSpaceDN/>
              <w:adjustRightInd/>
              <w:snapToGrid/>
              <w:spacing w:line="360" w:lineRule="auto"/>
              <w:ind w:left="0" w:leftChars="0" w:firstLine="0" w:firstLineChars="0"/>
              <w:jc w:val="both"/>
              <w:textAlignment w:val="auto"/>
              <w:rPr>
                <w:rFonts w:hint="default" w:ascii="Times New Roman" w:hAnsi="Times New Roman" w:eastAsia="宋体" w:cs="Times New Roman"/>
                <w:color w:val="auto"/>
                <w:sz w:val="20"/>
                <w:szCs w:val="20"/>
                <w:lang w:val="en-US" w:eastAsia="zh-CN"/>
              </w:rPr>
            </w:pPr>
            <w:r>
              <w:rPr>
                <w:rFonts w:hint="eastAsia" w:ascii="宋体" w:hAnsi="宋体" w:eastAsia="宋体" w:cs="宋体"/>
                <w:color w:val="auto"/>
                <w:sz w:val="24"/>
                <w:szCs w:val="24"/>
                <w:lang w:val="en-US" w:eastAsia="zh-CN"/>
              </w:rPr>
              <w:t>退款消息提醒</w:t>
            </w:r>
          </w:p>
          <w:p w14:paraId="4A5EA506">
            <w:pPr>
              <w:spacing w:line="360" w:lineRule="auto"/>
              <w:jc w:val="both"/>
              <w:rPr>
                <w:rFonts w:hint="eastAsia" w:ascii="宋体" w:hAnsi="宋体" w:eastAsia="宋体" w:cs="宋体"/>
                <w:sz w:val="30"/>
                <w:szCs w:val="30"/>
                <w:vertAlign w:val="baseline"/>
                <w:lang w:val="en-US" w:eastAsia="zh-CN"/>
              </w:rPr>
            </w:pPr>
            <w:r>
              <w:rPr>
                <w:rFonts w:hint="eastAsia" w:ascii="宋体" w:hAnsi="宋体" w:eastAsia="宋体" w:cs="宋体"/>
                <w:color w:val="auto"/>
                <w:sz w:val="24"/>
                <w:szCs w:val="24"/>
                <w:lang w:val="en-US" w:eastAsia="zh-CN"/>
              </w:rPr>
              <w:t>用户申请退款成功后，微信公众号以模版消息的方式推送消息告知患者退款结果。</w:t>
            </w:r>
          </w:p>
        </w:tc>
      </w:tr>
      <w:tr w14:paraId="28C7D616">
        <w:trPr>
          <w:trHeight w:val="1532" w:hRule="atLeast"/>
          <w:jc w:val="center"/>
        </w:trPr>
        <w:tc>
          <w:tcPr>
            <w:tcW w:w="1803" w:type="dxa"/>
            <w:vAlign w:val="center"/>
          </w:tcPr>
          <w:p w14:paraId="34AE8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制定参数</w:t>
            </w:r>
          </w:p>
        </w:tc>
        <w:tc>
          <w:tcPr>
            <w:tcW w:w="8236" w:type="dxa"/>
            <w:vAlign w:val="center"/>
          </w:tcPr>
          <w:p w14:paraId="4F898EA4">
            <w:pPr>
              <w:jc w:val="center"/>
              <w:rPr>
                <w:rFonts w:hint="eastAsia" w:asciiTheme="minorEastAsia" w:hAnsiTheme="minorEastAsia" w:eastAsiaTheme="minorEastAsia" w:cstheme="minorEastAsia"/>
                <w:sz w:val="30"/>
                <w:szCs w:val="30"/>
                <w:vertAlign w:val="baseline"/>
                <w:lang w:val="en-US" w:eastAsia="zh-CN"/>
              </w:rPr>
            </w:pPr>
          </w:p>
        </w:tc>
      </w:tr>
      <w:tr w14:paraId="7CCFF0B2">
        <w:trPr>
          <w:trHeight w:val="1424" w:hRule="atLeast"/>
          <w:jc w:val="center"/>
        </w:trPr>
        <w:tc>
          <w:tcPr>
            <w:tcW w:w="1803" w:type="dxa"/>
            <w:vAlign w:val="center"/>
          </w:tcPr>
          <w:p w14:paraId="708D15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6490DA85">
            <w:pPr>
              <w:jc w:val="center"/>
              <w:rPr>
                <w:rFonts w:hint="eastAsia" w:asciiTheme="minorEastAsia" w:hAnsiTheme="minorEastAsia" w:eastAsiaTheme="minorEastAsia" w:cstheme="minorEastAsia"/>
                <w:sz w:val="30"/>
                <w:szCs w:val="30"/>
                <w:vertAlign w:val="baseline"/>
                <w:lang w:val="en-US" w:eastAsia="zh-CN"/>
              </w:rPr>
            </w:pPr>
          </w:p>
        </w:tc>
      </w:tr>
      <w:tr w14:paraId="03B6B57F">
        <w:trPr>
          <w:trHeight w:val="1101" w:hRule="atLeast"/>
          <w:jc w:val="center"/>
        </w:trPr>
        <w:tc>
          <w:tcPr>
            <w:tcW w:w="1803" w:type="dxa"/>
            <w:vAlign w:val="center"/>
          </w:tcPr>
          <w:p w14:paraId="506C6645">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信息管理处</w:t>
            </w:r>
          </w:p>
        </w:tc>
        <w:tc>
          <w:tcPr>
            <w:tcW w:w="8236" w:type="dxa"/>
            <w:vAlign w:val="center"/>
          </w:tcPr>
          <w:p w14:paraId="2D737B2A">
            <w:pPr>
              <w:jc w:val="center"/>
              <w:rPr>
                <w:rFonts w:hint="eastAsia" w:asciiTheme="minorEastAsia" w:hAnsiTheme="minorEastAsia" w:eastAsiaTheme="minorEastAsia" w:cstheme="minorEastAsia"/>
                <w:sz w:val="30"/>
                <w:szCs w:val="30"/>
                <w:vertAlign w:val="baseline"/>
                <w:lang w:val="en-US" w:eastAsia="zh-CN"/>
              </w:rPr>
            </w:pPr>
          </w:p>
        </w:tc>
      </w:tr>
      <w:tr w14:paraId="359DE12D">
        <w:trPr>
          <w:trHeight w:val="1101" w:hRule="atLeast"/>
          <w:jc w:val="center"/>
        </w:trPr>
        <w:tc>
          <w:tcPr>
            <w:tcW w:w="1803" w:type="dxa"/>
            <w:vAlign w:val="center"/>
          </w:tcPr>
          <w:p w14:paraId="3F130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采购小组成员</w:t>
            </w:r>
          </w:p>
        </w:tc>
        <w:tc>
          <w:tcPr>
            <w:tcW w:w="8236" w:type="dxa"/>
            <w:vAlign w:val="center"/>
          </w:tcPr>
          <w:p w14:paraId="1B45D906">
            <w:pPr>
              <w:jc w:val="center"/>
              <w:rPr>
                <w:rFonts w:hint="eastAsia" w:asciiTheme="minorEastAsia" w:hAnsiTheme="minorEastAsia" w:eastAsiaTheme="minorEastAsia" w:cstheme="minorEastAsia"/>
                <w:sz w:val="30"/>
                <w:szCs w:val="30"/>
                <w:vertAlign w:val="baseline"/>
                <w:lang w:val="en-US" w:eastAsia="zh-CN"/>
              </w:rPr>
            </w:pPr>
          </w:p>
        </w:tc>
      </w:tr>
    </w:tbl>
    <w:p w14:paraId="21DF302D">
      <w:pPr>
        <w:jc w:val="both"/>
        <w:rPr>
          <w:rFonts w:hint="default"/>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F9A27"/>
    <w:multiLevelType w:val="singleLevel"/>
    <w:tmpl w:val="CFEF9A27"/>
    <w:lvl w:ilvl="0" w:tentative="0">
      <w:start w:val="2"/>
      <w:numFmt w:val="chineseCounting"/>
      <w:suff w:val="nothing"/>
      <w:lvlText w:val="%1、"/>
      <w:lvlJc w:val="left"/>
      <w:rPr>
        <w:rFonts w:hint="eastAsia"/>
      </w:rPr>
    </w:lvl>
  </w:abstractNum>
  <w:abstractNum w:abstractNumId="1">
    <w:nsid w:val="D0AEF7E1"/>
    <w:multiLevelType w:val="singleLevel"/>
    <w:tmpl w:val="D0AEF7E1"/>
    <w:lvl w:ilvl="0" w:tentative="0">
      <w:start w:val="1"/>
      <w:numFmt w:val="decimal"/>
      <w:suff w:val="nothing"/>
      <w:lvlText w:val="%1、"/>
      <w:lvlJc w:val="left"/>
    </w:lvl>
  </w:abstractNum>
  <w:abstractNum w:abstractNumId="2">
    <w:nsid w:val="EBDEC408"/>
    <w:multiLevelType w:val="singleLevel"/>
    <w:tmpl w:val="EBDEC408"/>
    <w:lvl w:ilvl="0" w:tentative="0">
      <w:start w:val="1"/>
      <w:numFmt w:val="chineseCounting"/>
      <w:suff w:val="nothing"/>
      <w:lvlText w:val="（%1）"/>
      <w:lvlJc w:val="left"/>
      <w:rPr>
        <w:rFonts w:hint="eastAsia"/>
        <w:sz w:val="28"/>
        <w:szCs w:val="28"/>
      </w:rPr>
    </w:lvl>
  </w:abstractNum>
  <w:abstractNum w:abstractNumId="3">
    <w:nsid w:val="FFFA80FB"/>
    <w:multiLevelType w:val="singleLevel"/>
    <w:tmpl w:val="FFFA80FB"/>
    <w:lvl w:ilvl="0" w:tentative="0">
      <w:start w:val="1"/>
      <w:numFmt w:val="decimal"/>
      <w:suff w:val="nothing"/>
      <w:lvlText w:val="%1、"/>
      <w:lvlJc w:val="left"/>
    </w:lvl>
  </w:abstractNum>
  <w:abstractNum w:abstractNumId="4">
    <w:nsid w:val="5BF42AB1"/>
    <w:multiLevelType w:val="singleLevel"/>
    <w:tmpl w:val="5BF42AB1"/>
    <w:lvl w:ilvl="0" w:tentative="0">
      <w:start w:val="1"/>
      <w:numFmt w:val="decimal"/>
      <w:suff w:val="nothing"/>
      <w:lvlText w:val="%1、"/>
      <w:lvlJc w:val="left"/>
    </w:lvl>
  </w:abstractNum>
  <w:abstractNum w:abstractNumId="5">
    <w:nsid w:val="6F3E9A1E"/>
    <w:multiLevelType w:val="singleLevel"/>
    <w:tmpl w:val="6F3E9A1E"/>
    <w:lvl w:ilvl="0" w:tentative="0">
      <w:start w:val="1"/>
      <w:numFmt w:val="chineseCounting"/>
      <w:suff w:val="nothing"/>
      <w:lvlText w:val="（%1）"/>
      <w:lvlJc w:val="left"/>
      <w:rPr>
        <w:rFonts w:hint="eastAsia"/>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14EC4689"/>
    <w:rsid w:val="1B217214"/>
    <w:rsid w:val="310437A5"/>
    <w:rsid w:val="4D663D4A"/>
    <w:rsid w:val="4F76AE74"/>
    <w:rsid w:val="56B06D87"/>
    <w:rsid w:val="628341B5"/>
    <w:rsid w:val="68A869C0"/>
    <w:rsid w:val="78CF064A"/>
    <w:rsid w:val="E5BB9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2024-08-28T18:42:00Z</dcterms:created>
  <dc:creator>郑丹</dc:creator>
  <cp:lastModifiedBy>oy</cp:lastModifiedBy>
  <dcterms:modified xsi:type="dcterms:W3CDTF">2025-09-19T09:12:34Z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0049EECA7F364C98F4ABCC684AEBB924_43</vt:lpwstr>
  </property>
</Properties>
</file>