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304DE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项目需求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0259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0BD5E75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2E6DBB78">
            <w:pPr>
              <w:jc w:val="center"/>
              <w:rPr>
                <w:rFonts w:hint="eastAsia"/>
                <w:sz w:val="30"/>
                <w:szCs w:val="30"/>
              </w:rPr>
            </w:pPr>
            <w:bookmarkStart w:id="1" w:name="_GoBack"/>
            <w:r>
              <w:rPr>
                <w:rFonts w:hint="eastAsia"/>
                <w:sz w:val="30"/>
                <w:szCs w:val="30"/>
              </w:rPr>
              <w:t>基于RBRVS和DRG的绩效管理咨询服务及配套软件系统</w:t>
            </w:r>
            <w:bookmarkEnd w:id="1"/>
          </w:p>
        </w:tc>
      </w:tr>
      <w:tr w14:paraId="4208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3" w:hRule="atLeast"/>
          <w:jc w:val="center"/>
        </w:trPr>
        <w:tc>
          <w:tcPr>
            <w:tcW w:w="10039" w:type="dxa"/>
            <w:gridSpan w:val="2"/>
          </w:tcPr>
          <w:p w14:paraId="7859BF66">
            <w:pPr>
              <w:spacing w:line="360" w:lineRule="auto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需求内容：</w:t>
            </w:r>
          </w:p>
          <w:tbl>
            <w:tblPr>
              <w:tblStyle w:val="4"/>
              <w:tblW w:w="4934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1"/>
              <w:gridCol w:w="7835"/>
              <w:gridCol w:w="907"/>
            </w:tblGrid>
            <w:tr w14:paraId="4FEB7B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3237F344">
                  <w:pPr>
                    <w:pStyle w:val="9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4046" w:type="pct"/>
                  <w:vAlign w:val="center"/>
                </w:tcPr>
                <w:p w14:paraId="277C4C86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469" w:type="pct"/>
                  <w:vAlign w:val="center"/>
                </w:tcPr>
                <w:p w14:paraId="66907BD5">
                  <w:pPr>
                    <w:pStyle w:val="9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</w:tr>
            <w:tr w14:paraId="246970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17E76DBB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一、医院绩效管理咨询服务</w:t>
                  </w:r>
                </w:p>
              </w:tc>
            </w:tr>
            <w:tr w14:paraId="760FF0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7C0C03F4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046" w:type="pct"/>
                  <w:vAlign w:val="center"/>
                </w:tcPr>
                <w:p w14:paraId="7400A478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临床医生绩效评价方案设计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57B2811C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2CCF56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5C7EDD58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4046" w:type="pct"/>
                  <w:vAlign w:val="center"/>
                </w:tcPr>
                <w:p w14:paraId="09FE6CE3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临床护理绩效评价方案设计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00A3F3DF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31EA02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29309835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4046" w:type="pct"/>
                  <w:vAlign w:val="center"/>
                </w:tcPr>
                <w:p w14:paraId="484C029B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医技科室绩效评价方案设计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270CD23C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15E388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796A91D0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4046" w:type="pct"/>
                  <w:vAlign w:val="center"/>
                </w:tcPr>
                <w:p w14:paraId="0868D074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 w:eastAsia="宋体" w:cs="宋体"/>
                      <w:szCs w:val="24"/>
                    </w:rPr>
                    <w:t>挂号收费、出住院处、药学、供应室等科室绩效评价方案设计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3811973B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1E0422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5507D0EC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4046" w:type="pct"/>
                  <w:vAlign w:val="center"/>
                </w:tcPr>
                <w:p w14:paraId="27E6C0C2">
                  <w:pPr>
                    <w:pStyle w:val="9"/>
                    <w:ind w:firstLine="480"/>
                    <w:rPr>
                      <w:rFonts w:hint="eastAsia" w:eastAsia="宋体" w:cs="宋体"/>
                      <w:szCs w:val="24"/>
                    </w:rPr>
                  </w:pPr>
                  <w:r>
                    <w:rPr>
                      <w:rFonts w:hint="eastAsia" w:eastAsia="宋体" w:cs="宋体"/>
                      <w:szCs w:val="24"/>
                    </w:rPr>
                    <w:t>手术专项绩效评价方案设计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5A7D8FD7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2682A7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1FA27706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4046" w:type="pct"/>
                </w:tcPr>
                <w:p w14:paraId="36BCD422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科室直接成本管控方案设计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0522E39D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6EC30B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7D627175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4046" w:type="pct"/>
                </w:tcPr>
                <w:p w14:paraId="44A7A045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核算单元嵌入关键考核指标方案设计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6DBC6030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4C2996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4B9FBCE0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4046" w:type="pct"/>
                </w:tcPr>
                <w:p w14:paraId="4A1DB950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二次分配指导意见方案设计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715B0707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0ABAF1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72928D6D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4046" w:type="pct"/>
                  <w:vAlign w:val="center"/>
                </w:tcPr>
                <w:p w14:paraId="7B4871CD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DRG绩效评价方案设计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2542B232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2CB2E5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40C4CF01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4046" w:type="pct"/>
                  <w:vAlign w:val="center"/>
                </w:tcPr>
                <w:p w14:paraId="59463526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三级公立医院绩效评价方案设计</w:t>
                  </w:r>
                </w:p>
              </w:tc>
              <w:tc>
                <w:tcPr>
                  <w:tcW w:w="469" w:type="pct"/>
                  <w:vAlign w:val="center"/>
                </w:tcPr>
                <w:p w14:paraId="7571E032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14:paraId="4E16C7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662900F6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二、</w:t>
                  </w:r>
                  <w:bookmarkStart w:id="0" w:name="OLE_LINK11"/>
                  <w:r>
                    <w:rPr>
                      <w:rFonts w:hint="eastAsia"/>
                    </w:rPr>
                    <w:t>医院绩效考核管理软件系统</w:t>
                  </w:r>
                  <w:bookmarkEnd w:id="0"/>
                </w:p>
              </w:tc>
            </w:tr>
            <w:tr w14:paraId="294E71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486" w:type="pct"/>
                  <w:vAlign w:val="center"/>
                </w:tcPr>
                <w:p w14:paraId="5AF4C19A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046" w:type="pct"/>
                  <w:vAlign w:val="center"/>
                </w:tcPr>
                <w:p w14:paraId="7AB41C8A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t>基于RBRVS的医院绩效评价管理系统</w:t>
                  </w:r>
                </w:p>
              </w:tc>
              <w:tc>
                <w:tcPr>
                  <w:tcW w:w="469" w:type="pct"/>
                  <w:vAlign w:val="center"/>
                </w:tcPr>
                <w:p w14:paraId="6AB7D40A">
                  <w:pPr>
                    <w:pStyle w:val="9"/>
                    <w:ind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</w:tbl>
          <w:p w14:paraId="737F3C7F">
            <w:pPr>
              <w:spacing w:line="360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3317B5DD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1. 提供绩效管理咨询服务；</w:t>
            </w:r>
          </w:p>
          <w:p w14:paraId="2FA8AC63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包含：临床医生绩效评价方案设计、临床护理绩效评价方案设计、医技科室绩效评价方案设计、挂号收费、药学、供应室等科室绩效评价方案设计、手术专项绩效评价方案设计、科室直接成本管控方案设计、核算单元嵌入关键考核指标方案设计、二次分配指导意见方案设计、DRG绩效评价方案设计、三级公立医院绩效考核方案设计等方面绩效管理方案设计咨询服务。</w:t>
            </w:r>
          </w:p>
          <w:p w14:paraId="74EA2848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  提供软件实施服务，要求厂商实施过医院绩效考核管理软件系统，包含不限于以下内容：</w:t>
            </w:r>
          </w:p>
          <w:p w14:paraId="56183596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2.1运用RBRVS和DRG，支持多种分配工具相结合综合核算；</w:t>
            </w:r>
          </w:p>
          <w:p w14:paraId="2D0176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2.2点数规则：本次绩效管理方案特点是以RBRVS的本地化方案为理论依据，计算各临床科室的工作量。点数规则引擎能将点数与规则结合，支持用户通过界面配置来完成项目点数的归属确认。通过多种条件的组合，能够实现较为复杂的逻辑。要求投标软件，必须至少具有按照医生科室、病人科室、员工、职称、费别、项目、员工身份、节假日工作、门诊住院工作等条件进行规则制定的能力。</w:t>
            </w:r>
          </w:p>
          <w:p w14:paraId="0892038B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2.3KPI指标：关键业绩指标作为绩效考核与评价的重要维度之一，应当可扩展、可调整、可定义。指标结果的计算逻辑必须由公式编辑器来定义，公式编辑器应当支持按录入值进行梯度计算、按录入值完成率进行梯度计算、按区间进行计算得分等模式。指标支持不同的考核周期（月、季度、半年、年度），指标编辑器支持引入外部变量来作为指标的动态目标值。</w:t>
            </w:r>
          </w:p>
          <w:p w14:paraId="0CF39E9D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2.4成本管理：绩效所需成本项目，必须支持自动采集、手工录入和批量导入的方式。支持任意多层级的成本项目。不同的成本项目在进入绩效分配运算时，应当考虑支持不同的计提比例，通过计提比例的调整确保成本因素在绩效比例中占比合理。</w:t>
            </w:r>
          </w:p>
          <w:p w14:paraId="0EAD1342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2.5手术单项：结合历史数据梳理手术科室的基础手术工作量，对于超过基础手术工作量的部分进行单项奖励。对超过的比例、超额的奖励都可通过软件动态调节，无需进行代码修改。</w:t>
            </w:r>
          </w:p>
          <w:p w14:paraId="7595E0B3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2.6二次分配方案：除支持个人绩效上报外，还必须支持复杂的科室分配方式，通过软件采集到的个人数据结合科室手工核准上报的项目，从年资、工作量、奖惩三个角度，自动对个人绩效进行评价。</w:t>
            </w:r>
          </w:p>
          <w:p w14:paraId="2DCC47A2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二、供应商资质要求：</w:t>
            </w:r>
          </w:p>
          <w:p w14:paraId="10E4E9D2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1. 参会供应商必须是中华人民共和国境内注册的独立法人机构，持有有效的企业法人营业执照，具有独立承担民事责任的能力。</w:t>
            </w:r>
          </w:p>
          <w:p w14:paraId="38EADA35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 本项目只接受独立法人，不接受任何形式联合体，不得分包转包。</w:t>
            </w:r>
          </w:p>
          <w:p w14:paraId="24C1F095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3. 有稳定的技术服务队伍，履行合同所必需的设备和专业技术能力，服务承诺能完好兑现。</w:t>
            </w:r>
          </w:p>
          <w:p w14:paraId="3F3748FD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三、报名提交资料要求</w:t>
            </w:r>
          </w:p>
          <w:p w14:paraId="46F7E8FA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‎</w:t>
            </w:r>
            <w:r>
              <w:rPr>
                <w:rFonts w:asciiTheme="minorEastAsia" w:hAnsiTheme="minorEastAsia"/>
                <w:sz w:val="24"/>
              </w:rPr>
              <w:t>1. 基础材料</w:t>
            </w:r>
          </w:p>
          <w:p w14:paraId="2FB19B35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1.1营业执照副本复印件、税务登记证复印件、组织机构代码证复印件（三证合一或五证合一的证明文件复印件）；</w:t>
            </w:r>
          </w:p>
          <w:p w14:paraId="4B9C18AB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1.2企业法人授权委托书（附件1）、法人/负责人证明书（附件2）、委托人/参会人身份证复印件；</w:t>
            </w:r>
          </w:p>
          <w:p w14:paraId="3E6B3ED9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2. </w:t>
            </w:r>
            <w:r>
              <w:rPr>
                <w:rFonts w:asciiTheme="minorEastAsia" w:hAnsiTheme="minorEastAsia"/>
                <w:sz w:val="24"/>
              </w:rPr>
              <w:t>项目报价表；</w:t>
            </w:r>
          </w:p>
          <w:p w14:paraId="3356E5CC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‎</w:t>
            </w:r>
            <w:r>
              <w:rPr>
                <w:rFonts w:hint="eastAsia" w:asciiTheme="minorEastAsia" w:hAnsiTheme="minorEastAsia"/>
                <w:sz w:val="24"/>
              </w:rPr>
              <w:t>3</w:t>
            </w:r>
            <w:r>
              <w:rPr>
                <w:rFonts w:asciiTheme="minorEastAsia" w:hAnsiTheme="minorEastAsia"/>
                <w:sz w:val="24"/>
              </w:rPr>
              <w:t>.项目成功案例介绍--近两年三甲医院中标书参考，包括近两年成交价格（合同或中标通知书复印件并盖单位章）；</w:t>
            </w:r>
          </w:p>
          <w:p w14:paraId="27BA8A38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‎</w:t>
            </w:r>
            <w:r>
              <w:rPr>
                <w:rFonts w:hint="eastAsia" w:asciiTheme="minorEastAsia" w:hAnsiTheme="minorEastAsia"/>
                <w:sz w:val="24"/>
              </w:rPr>
              <w:t>4</w:t>
            </w:r>
            <w:r>
              <w:rPr>
                <w:rFonts w:asciiTheme="minorEastAsia" w:hAnsiTheme="minorEastAsia"/>
                <w:sz w:val="24"/>
              </w:rPr>
              <w:t>.项目售后服务方案；</w:t>
            </w:r>
          </w:p>
          <w:p w14:paraId="3A554848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‎</w:t>
            </w:r>
            <w:r>
              <w:rPr>
                <w:rFonts w:hint="eastAsia" w:asciiTheme="minorEastAsia" w:hAnsiTheme="minorEastAsia"/>
                <w:sz w:val="24"/>
              </w:rPr>
              <w:t>5</w:t>
            </w:r>
            <w:r>
              <w:rPr>
                <w:rFonts w:asciiTheme="minorEastAsia" w:hAnsiTheme="minorEastAsia"/>
                <w:sz w:val="24"/>
              </w:rPr>
              <w:t>.所投软件自主产权证明。</w:t>
            </w:r>
          </w:p>
          <w:p w14:paraId="20C87B3C">
            <w:pPr>
              <w:spacing w:line="360" w:lineRule="auto"/>
              <w:rPr>
                <w:rFonts w:hint="eastAsia"/>
                <w:sz w:val="24"/>
              </w:rPr>
            </w:pPr>
          </w:p>
          <w:p w14:paraId="0F423B51">
            <w:pPr>
              <w:spacing w:line="360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579D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3989501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224A4AB9"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</w:p>
        </w:tc>
      </w:tr>
      <w:tr w14:paraId="6AAF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135D70B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4B65EB50"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</w:p>
        </w:tc>
      </w:tr>
    </w:tbl>
    <w:p w14:paraId="3EADC135">
      <w:pPr>
        <w:rPr>
          <w:sz w:val="52"/>
          <w:szCs w:val="7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ZTMxNWRhOTc4MmMxMzA4NmQzZWRjZTMyMjQwN2IifQ=="/>
  </w:docVars>
  <w:rsids>
    <w:rsidRoot w:val="56B06D87"/>
    <w:rsid w:val="000D0D3B"/>
    <w:rsid w:val="00117269"/>
    <w:rsid w:val="008D4429"/>
    <w:rsid w:val="00C22BFB"/>
    <w:rsid w:val="00FA0409"/>
    <w:rsid w:val="298004A8"/>
    <w:rsid w:val="37E53D99"/>
    <w:rsid w:val="53330AA9"/>
    <w:rsid w:val="56B06D87"/>
    <w:rsid w:val="653F56B9"/>
    <w:rsid w:val="68A869C0"/>
    <w:rsid w:val="6B293C42"/>
    <w:rsid w:val="6E256696"/>
    <w:rsid w:val="72425775"/>
    <w:rsid w:val="7E27328E"/>
    <w:rsid w:val="7E5D2EBC"/>
    <w:rsid w:val="DBFEF4FC"/>
    <w:rsid w:val="FFFD9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No Spacing"/>
    <w:link w:val="10"/>
    <w:qFormat/>
    <w:uiPriority w:val="1"/>
    <w:pPr>
      <w:widowControl w:val="0"/>
      <w:spacing w:line="360" w:lineRule="auto"/>
      <w:jc w:val="both"/>
    </w:pPr>
    <w:rPr>
      <w:rFonts w:ascii="宋体" w:hAnsi="宋体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10">
    <w:name w:val="无间隔 字符"/>
    <w:link w:val="9"/>
    <w:qFormat/>
    <w:uiPriority w:val="1"/>
    <w:rPr>
      <w:rFonts w:ascii="宋体" w:hAnsi="宋体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1421</Words>
  <Characters>1480</Characters>
  <Lines>11</Lines>
  <Paragraphs>3</Paragraphs>
  <TotalTime>68</TotalTime>
  <ScaleCrop>false</ScaleCrop>
  <LinksUpToDate>false</LinksUpToDate>
  <CharactersWithSpaces>1488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2025-09-30T17:08:00Z</dcterms:created>
  <dc:creator>郑丹</dc:creator>
  <cp:lastModifiedBy>潘林</cp:lastModifiedBy>
  <dcterms:modified xsi:type="dcterms:W3CDTF">2025-12-04T03:07:40Z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6CD59949ADA9401AB820A4448B12BFF9_13</vt:lpwstr>
  </property>
  <property fmtid="{D5CDD505-2E9C-101B-9397-08002B2CF9AE}" pid="4" name="KSOTemplateDocerSaveRecord">
    <vt:lpwstr>eyJoZGlkIjoiNmQzMzI1YmIxNjZjNmJhMmY0OWIyMmI0ZDllMjE1ZTMiLCJ1c2VySWQiOiIxNTc0NjY4MTQyIn0=</vt:lpwstr>
  </property>
</Properties>
</file>