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5B356">
      <w:pPr>
        <w:jc w:val="center"/>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项目需求</w:t>
      </w:r>
    </w:p>
    <w:tbl>
      <w:tblPr>
        <w:tblStyle w:val="8"/>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2"/>
        <w:gridCol w:w="8834"/>
      </w:tblGrid>
      <w:tr w14:paraId="6988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803" w:type="dxa"/>
            <w:vAlign w:val="center"/>
          </w:tcPr>
          <w:p w14:paraId="77414572">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项目名称</w:t>
            </w:r>
          </w:p>
        </w:tc>
        <w:tc>
          <w:tcPr>
            <w:tcW w:w="8236" w:type="dxa"/>
            <w:vAlign w:val="center"/>
          </w:tcPr>
          <w:p w14:paraId="461A16DF">
            <w:pPr>
              <w:jc w:val="center"/>
              <w:rPr>
                <w:rFonts w:hint="default"/>
                <w:sz w:val="30"/>
                <w:szCs w:val="30"/>
                <w:vertAlign w:val="baseline"/>
                <w:lang w:val="en-US" w:eastAsia="zh-CN"/>
              </w:rPr>
            </w:pPr>
            <w:bookmarkStart w:id="0" w:name="_GoBack"/>
            <w:r>
              <w:rPr>
                <w:rFonts w:hint="default"/>
                <w:sz w:val="30"/>
                <w:szCs w:val="30"/>
                <w:vertAlign w:val="baseline"/>
                <w:lang w:val="en-US" w:eastAsia="zh-CN"/>
              </w:rPr>
              <w:t>信息化可研以及监理服务</w:t>
            </w:r>
            <w:bookmarkEnd w:id="0"/>
          </w:p>
        </w:tc>
      </w:tr>
      <w:tr w14:paraId="634D5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3" w:hRule="atLeast"/>
          <w:jc w:val="center"/>
        </w:trPr>
        <w:tc>
          <w:tcPr>
            <w:tcW w:w="10039" w:type="dxa"/>
            <w:gridSpan w:val="2"/>
          </w:tcPr>
          <w:p w14:paraId="2A9F0E6E">
            <w:pPr>
              <w:spacing w:line="276" w:lineRule="auto"/>
              <w:rPr>
                <w:rFonts w:hint="eastAsia" w:ascii="宋体" w:hAnsi="宋体" w:eastAsia="宋体"/>
                <w:b/>
                <w:bCs/>
                <w:sz w:val="24"/>
                <w:lang w:eastAsia="zh-CN"/>
              </w:rPr>
            </w:pPr>
            <w:r>
              <w:rPr>
                <w:rFonts w:hint="eastAsia" w:ascii="宋体" w:hAnsi="宋体" w:eastAsia="宋体"/>
                <w:b/>
                <w:bCs/>
                <w:sz w:val="24"/>
                <w:lang w:eastAsia="zh-CN"/>
              </w:rPr>
              <w:t>建设内容</w:t>
            </w:r>
          </w:p>
          <w:p w14:paraId="560846C2">
            <w:pPr>
              <w:ind w:firstLine="560" w:firstLineChars="200"/>
              <w:rPr>
                <w:rFonts w:ascii="仿宋" w:hAnsi="仿宋" w:eastAsia="仿宋" w:cs="仿宋"/>
                <w:b w:val="0"/>
                <w:bCs w:val="0"/>
                <w:color w:val="000000"/>
                <w:kern w:val="0"/>
                <w:sz w:val="28"/>
                <w:szCs w:val="28"/>
                <w:highlight w:val="none"/>
              </w:rPr>
            </w:pPr>
            <w:r>
              <w:rPr>
                <w:rFonts w:hint="eastAsia" w:ascii="仿宋" w:hAnsi="仿宋" w:eastAsia="仿宋" w:cs="仿宋"/>
                <w:kern w:val="0"/>
                <w:sz w:val="28"/>
                <w:szCs w:val="28"/>
              </w:rPr>
              <w:t>202</w:t>
            </w: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-202</w:t>
            </w:r>
            <w:r>
              <w:rPr>
                <w:rFonts w:hint="eastAsia" w:ascii="仿宋" w:hAnsi="仿宋" w:eastAsia="仿宋" w:cs="仿宋"/>
                <w:kern w:val="0"/>
                <w:sz w:val="28"/>
                <w:szCs w:val="28"/>
                <w:lang w:val="en-US" w:eastAsia="zh-CN"/>
              </w:rPr>
              <w:t>7</w:t>
            </w:r>
            <w:r>
              <w:rPr>
                <w:rFonts w:hint="eastAsia" w:ascii="仿宋" w:hAnsi="仿宋" w:eastAsia="仿宋" w:cs="仿宋"/>
                <w:kern w:val="0"/>
                <w:sz w:val="28"/>
                <w:szCs w:val="28"/>
              </w:rPr>
              <w:t>年度信息化项目（具体项目名称、规模及内容未定），根据《国家政务信息化项目建设管理办法》（国办发〔2019〕57号）、《全国公共卫生信息化建设标准与规范（试行）》</w:t>
            </w:r>
            <w:r>
              <w:rPr>
                <w:rFonts w:hint="eastAsia" w:ascii="仿宋" w:hAnsi="仿宋" w:eastAsia="仿宋" w:cs="仿宋"/>
                <w:kern w:val="0"/>
                <w:sz w:val="28"/>
                <w:szCs w:val="28"/>
                <w:lang w:eastAsia="zh-CN"/>
              </w:rPr>
              <w:t>、《福建数字福建建设项目管理办法》、《福建省省级政务信息化项目管理办法（试行）》</w:t>
            </w:r>
            <w:r>
              <w:rPr>
                <w:rFonts w:hint="eastAsia" w:ascii="仿宋" w:hAnsi="仿宋" w:eastAsia="仿宋" w:cs="仿宋"/>
                <w:kern w:val="0"/>
                <w:sz w:val="28"/>
                <w:szCs w:val="28"/>
              </w:rPr>
              <w:t>等相关办法、文件规定，</w:t>
            </w:r>
            <w:r>
              <w:rPr>
                <w:rFonts w:hint="eastAsia" w:ascii="仿宋" w:hAnsi="仿宋" w:eastAsia="仿宋" w:cs="仿宋"/>
                <w:kern w:val="0"/>
                <w:sz w:val="28"/>
                <w:szCs w:val="28"/>
                <w:lang w:val="en-US" w:eastAsia="zh-CN"/>
              </w:rPr>
              <w:t>信息化项目建设前期</w:t>
            </w:r>
            <w:r>
              <w:rPr>
                <w:rFonts w:hint="eastAsia" w:ascii="仿宋" w:hAnsi="仿宋" w:eastAsia="仿宋" w:cs="仿宋"/>
                <w:kern w:val="0"/>
                <w:sz w:val="28"/>
                <w:szCs w:val="28"/>
              </w:rPr>
              <w:t>应当委托有资质</w:t>
            </w:r>
            <w:r>
              <w:rPr>
                <w:rFonts w:hint="eastAsia" w:ascii="仿宋" w:hAnsi="仿宋" w:eastAsia="仿宋" w:cs="仿宋"/>
                <w:kern w:val="0"/>
                <w:sz w:val="28"/>
                <w:szCs w:val="28"/>
                <w:lang w:val="en-US" w:eastAsia="zh-CN"/>
              </w:rPr>
              <w:t>的咨询</w:t>
            </w:r>
            <w:r>
              <w:rPr>
                <w:rFonts w:hint="eastAsia" w:ascii="仿宋" w:hAnsi="仿宋" w:eastAsia="仿宋" w:cs="仿宋"/>
                <w:kern w:val="0"/>
                <w:sz w:val="28"/>
                <w:szCs w:val="28"/>
              </w:rPr>
              <w:t>单位编写</w:t>
            </w:r>
            <w:r>
              <w:rPr>
                <w:rFonts w:hint="eastAsia" w:ascii="仿宋" w:hAnsi="仿宋" w:eastAsia="仿宋" w:cs="仿宋"/>
                <w:kern w:val="0"/>
                <w:sz w:val="28"/>
                <w:szCs w:val="28"/>
                <w:lang w:val="en-US" w:eastAsia="zh-CN"/>
              </w:rPr>
              <w:t>可行性研究暨</w:t>
            </w:r>
            <w:r>
              <w:rPr>
                <w:rFonts w:hint="eastAsia" w:ascii="仿宋" w:hAnsi="仿宋" w:eastAsia="仿宋" w:cs="仿宋"/>
                <w:kern w:val="0"/>
                <w:sz w:val="28"/>
                <w:szCs w:val="28"/>
              </w:rPr>
              <w:t>初步设计方案</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项目建设过程应当按照信息系统工程监理有关规定，委托具有信息系统工程监理资格的单位对项目建设进行工程监理</w:t>
            </w:r>
            <w:r>
              <w:rPr>
                <w:rFonts w:hint="eastAsia" w:ascii="仿宋" w:hAnsi="仿宋" w:eastAsia="仿宋" w:cs="仿宋"/>
                <w:kern w:val="0"/>
                <w:sz w:val="28"/>
                <w:szCs w:val="28"/>
              </w:rPr>
              <w:t>。</w:t>
            </w:r>
          </w:p>
          <w:p w14:paraId="4548334F">
            <w:pPr>
              <w:spacing w:line="600" w:lineRule="exact"/>
              <w:ind w:firstLine="560" w:firstLineChars="2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w:t>
            </w:r>
            <w:r>
              <w:rPr>
                <w:rFonts w:hint="eastAsia" w:ascii="仿宋" w:hAnsi="仿宋" w:eastAsia="仿宋" w:cs="仿宋"/>
                <w:color w:val="000000"/>
                <w:kern w:val="0"/>
                <w:sz w:val="28"/>
                <w:szCs w:val="28"/>
              </w:rPr>
              <w:t>、服务内容概述：为保障202</w:t>
            </w:r>
            <w:r>
              <w:rPr>
                <w:rFonts w:hint="eastAsia" w:ascii="仿宋" w:hAnsi="仿宋" w:eastAsia="仿宋" w:cs="仿宋"/>
                <w:color w:val="000000"/>
                <w:kern w:val="0"/>
                <w:sz w:val="28"/>
                <w:szCs w:val="28"/>
                <w:lang w:val="en-US" w:eastAsia="zh-CN"/>
              </w:rPr>
              <w:t>6</w:t>
            </w:r>
            <w:r>
              <w:rPr>
                <w:rFonts w:hint="eastAsia" w:ascii="仿宋" w:hAnsi="仿宋" w:eastAsia="仿宋" w:cs="仿宋"/>
                <w:color w:val="000000"/>
                <w:kern w:val="0"/>
                <w:sz w:val="28"/>
                <w:szCs w:val="28"/>
              </w:rPr>
              <w:t>-202</w:t>
            </w:r>
            <w:r>
              <w:rPr>
                <w:rFonts w:hint="eastAsia" w:ascii="仿宋" w:hAnsi="仿宋" w:eastAsia="仿宋" w:cs="仿宋"/>
                <w:color w:val="000000"/>
                <w:kern w:val="0"/>
                <w:sz w:val="28"/>
                <w:szCs w:val="28"/>
                <w:lang w:val="en-US" w:eastAsia="zh-CN"/>
              </w:rPr>
              <w:t>7</w:t>
            </w:r>
            <w:r>
              <w:rPr>
                <w:rFonts w:hint="eastAsia" w:ascii="仿宋" w:hAnsi="仿宋" w:eastAsia="仿宋" w:cs="仿宋"/>
                <w:color w:val="000000"/>
                <w:kern w:val="0"/>
                <w:sz w:val="28"/>
                <w:szCs w:val="28"/>
              </w:rPr>
              <w:t>年度我院信息化项目建设工作及时、顺利开展，通过此次招标开展采购年度信息技术服务供应商开展信息化项目可研暨初设编制服务</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信息系统工程监理服务。</w:t>
            </w:r>
          </w:p>
          <w:p w14:paraId="10BB2604">
            <w:pPr>
              <w:spacing w:line="600" w:lineRule="exact"/>
              <w:ind w:firstLine="560" w:firstLineChars="200"/>
              <w:rPr>
                <w:rFonts w:ascii="仿宋" w:hAnsi="仿宋" w:eastAsia="仿宋" w:cs="仿宋"/>
                <w:sz w:val="28"/>
                <w:szCs w:val="28"/>
              </w:rPr>
            </w:pPr>
            <w:r>
              <w:rPr>
                <w:rFonts w:hint="eastAsia" w:ascii="仿宋" w:hAnsi="仿宋" w:eastAsia="仿宋" w:cs="仿宋"/>
                <w:color w:val="000000"/>
                <w:kern w:val="0"/>
                <w:sz w:val="28"/>
                <w:szCs w:val="28"/>
                <w:lang w:val="en-US" w:eastAsia="zh-CN"/>
              </w:rPr>
              <w:t>3</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交货</w:t>
            </w:r>
            <w:r>
              <w:rPr>
                <w:rFonts w:hint="eastAsia" w:ascii="仿宋" w:hAnsi="仿宋" w:eastAsia="仿宋" w:cs="仿宋"/>
                <w:color w:val="000000"/>
                <w:kern w:val="0"/>
                <w:sz w:val="28"/>
                <w:szCs w:val="28"/>
              </w:rPr>
              <w:t>期：可研暨初设编制服务</w:t>
            </w:r>
            <w:r>
              <w:rPr>
                <w:rFonts w:hint="eastAsia" w:ascii="仿宋" w:hAnsi="仿宋" w:eastAsia="仿宋" w:cs="仿宋"/>
                <w:color w:val="000000"/>
                <w:kern w:val="0"/>
                <w:sz w:val="28"/>
                <w:szCs w:val="28"/>
                <w:lang w:val="en-US" w:eastAsia="zh-CN"/>
              </w:rPr>
              <w:t>为</w:t>
            </w:r>
            <w:r>
              <w:rPr>
                <w:rFonts w:hint="eastAsia" w:ascii="仿宋" w:hAnsi="仿宋" w:eastAsia="仿宋" w:cs="仿宋"/>
                <w:color w:val="000000"/>
                <w:kern w:val="0"/>
                <w:sz w:val="28"/>
                <w:szCs w:val="28"/>
              </w:rPr>
              <w:t>自提供项目</w:t>
            </w:r>
            <w:r>
              <w:rPr>
                <w:rFonts w:hint="eastAsia" w:ascii="仿宋" w:hAnsi="仿宋" w:eastAsia="仿宋" w:cs="仿宋"/>
                <w:color w:val="000000"/>
                <w:kern w:val="0"/>
                <w:sz w:val="28"/>
                <w:szCs w:val="28"/>
                <w:lang w:val="en-US" w:eastAsia="zh-CN"/>
              </w:rPr>
              <w:t>相关</w:t>
            </w:r>
            <w:r>
              <w:rPr>
                <w:rFonts w:hint="eastAsia" w:ascii="仿宋" w:hAnsi="仿宋" w:eastAsia="仿宋" w:cs="仿宋"/>
                <w:color w:val="000000"/>
                <w:kern w:val="0"/>
                <w:sz w:val="28"/>
                <w:szCs w:val="28"/>
              </w:rPr>
              <w:t>的基本素材之日起30个工作日内完成并提交方案（讨论稿）</w:t>
            </w:r>
            <w:r>
              <w:rPr>
                <w:rFonts w:hint="eastAsia" w:ascii="仿宋" w:hAnsi="仿宋" w:eastAsia="仿宋" w:cs="仿宋"/>
                <w:color w:val="000000"/>
                <w:kern w:val="0"/>
                <w:sz w:val="28"/>
                <w:szCs w:val="28"/>
                <w:lang w:eastAsia="zh-CN"/>
              </w:rPr>
              <w:t>；信息系统工程监理</w:t>
            </w:r>
            <w:r>
              <w:rPr>
                <w:rFonts w:hint="eastAsia" w:ascii="仿宋" w:hAnsi="仿宋" w:eastAsia="仿宋" w:cs="仿宋"/>
                <w:color w:val="000000"/>
                <w:kern w:val="0"/>
                <w:sz w:val="28"/>
                <w:szCs w:val="28"/>
                <w:lang w:val="en-US" w:eastAsia="zh-CN"/>
              </w:rPr>
              <w:t>为项目委托之日起至项目完成验收，提供监理报告、验收报告等相关验收文档</w:t>
            </w:r>
            <w:r>
              <w:rPr>
                <w:rFonts w:hint="eastAsia" w:ascii="仿宋" w:hAnsi="仿宋" w:eastAsia="仿宋" w:cs="仿宋"/>
                <w:color w:val="000000"/>
                <w:kern w:val="0"/>
                <w:sz w:val="28"/>
                <w:szCs w:val="28"/>
              </w:rPr>
              <w:t>。</w:t>
            </w:r>
          </w:p>
          <w:p w14:paraId="47FFA5FB">
            <w:pPr>
              <w:spacing w:line="600" w:lineRule="exact"/>
              <w:ind w:firstLine="560" w:firstLineChars="200"/>
              <w:rPr>
                <w:rFonts w:hint="default" w:ascii="仿宋" w:hAnsi="仿宋" w:eastAsia="仿宋" w:cs="仿宋"/>
                <w:color w:val="000000"/>
                <w:kern w:val="0"/>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color w:val="000000"/>
                <w:kern w:val="0"/>
                <w:sz w:val="28"/>
                <w:szCs w:val="28"/>
                <w:lang w:val="en-US" w:eastAsia="zh-CN"/>
              </w:rPr>
              <w:t>服务期：自合同签订之日起至所承接项目验收合格之日止。</w:t>
            </w:r>
          </w:p>
          <w:p w14:paraId="7DF5FF75">
            <w:pPr>
              <w:spacing w:line="60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二、资格要求</w:t>
            </w:r>
          </w:p>
          <w:p w14:paraId="377C38EE">
            <w:pPr>
              <w:ind w:firstLine="640"/>
              <w:rPr>
                <w:rFonts w:hint="eastAsia" w:ascii="仿宋" w:hAnsi="仿宋" w:eastAsia="仿宋" w:cs="仿宋"/>
                <w:b w:val="0"/>
                <w:bCs w:val="0"/>
                <w:sz w:val="28"/>
                <w:szCs w:val="28"/>
              </w:rPr>
            </w:pPr>
            <w:r>
              <w:rPr>
                <w:rFonts w:hint="eastAsia" w:ascii="仿宋" w:hAnsi="仿宋" w:eastAsia="仿宋" w:cs="仿宋"/>
                <w:b w:val="0"/>
                <w:bCs w:val="0"/>
                <w:sz w:val="28"/>
                <w:szCs w:val="28"/>
              </w:rPr>
              <w:t>1、应具有全国投资项目在线审批监管平台备案审核通过的专业为电子、信息工程（含通信、广电、信息化）工程咨询单位；信息化监理服务单位应具有信息系统工程监理服务标准贯标证书或信息系统工程监理单位证书；</w:t>
            </w:r>
          </w:p>
          <w:p w14:paraId="416DCE38">
            <w:pPr>
              <w:ind w:firstLine="640"/>
              <w:rPr>
                <w:rFonts w:hint="eastAsia" w:ascii="仿宋" w:hAnsi="仿宋" w:eastAsia="仿宋" w:cs="仿宋"/>
                <w:b w:val="0"/>
                <w:bCs w:val="0"/>
                <w:sz w:val="28"/>
                <w:szCs w:val="28"/>
              </w:rPr>
            </w:pPr>
            <w:r>
              <w:rPr>
                <w:rFonts w:hint="eastAsia" w:ascii="仿宋" w:hAnsi="仿宋" w:eastAsia="仿宋" w:cs="仿宋"/>
                <w:b w:val="0"/>
                <w:bCs w:val="0"/>
                <w:sz w:val="28"/>
                <w:szCs w:val="28"/>
              </w:rPr>
              <w:t>2、符合《中华人民共和国政府采购法》第二十二条要求；</w:t>
            </w:r>
          </w:p>
          <w:p w14:paraId="0A3700D4">
            <w:pPr>
              <w:ind w:firstLine="640"/>
              <w:rPr>
                <w:rFonts w:ascii="仿宋_GB2312" w:hAnsi="仿宋_GB2312" w:eastAsia="仿宋_GB2312" w:cs="仿宋_GB2312"/>
                <w:sz w:val="32"/>
                <w:szCs w:val="32"/>
              </w:rPr>
            </w:pPr>
            <w:r>
              <w:rPr>
                <w:rFonts w:hint="eastAsia" w:ascii="仿宋" w:hAnsi="仿宋" w:eastAsia="仿宋" w:cs="仿宋"/>
                <w:b w:val="0"/>
                <w:bCs w:val="0"/>
                <w:sz w:val="28"/>
                <w:szCs w:val="28"/>
              </w:rPr>
              <w:t>3、公司简介及类似项目案例。</w:t>
            </w:r>
          </w:p>
          <w:p w14:paraId="0B213A9B">
            <w:pPr>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三、报价方式</w:t>
            </w:r>
          </w:p>
          <w:p w14:paraId="50AAD4A5">
            <w:pPr>
              <w:ind w:firstLine="640"/>
              <w:rPr>
                <w:rFonts w:hint="default" w:ascii="仿宋" w:hAnsi="仿宋" w:eastAsia="仿宋" w:cs="仿宋"/>
                <w:b w:val="0"/>
                <w:bCs w:val="0"/>
                <w:sz w:val="28"/>
                <w:szCs w:val="28"/>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根据《</w:t>
            </w:r>
            <w:r>
              <w:rPr>
                <w:rFonts w:hint="eastAsia" w:ascii="仿宋" w:hAnsi="仿宋" w:eastAsia="仿宋" w:cs="仿宋"/>
                <w:b w:val="0"/>
                <w:bCs w:val="0"/>
                <w:sz w:val="28"/>
                <w:szCs w:val="28"/>
                <w:lang w:val="en-US" w:eastAsia="zh-CN"/>
              </w:rPr>
              <w:t>福建省</w:t>
            </w:r>
            <w:r>
              <w:rPr>
                <w:rFonts w:hint="eastAsia" w:ascii="仿宋" w:hAnsi="仿宋" w:eastAsia="仿宋" w:cs="仿宋"/>
                <w:b w:val="0"/>
                <w:bCs w:val="0"/>
                <w:sz w:val="28"/>
                <w:szCs w:val="28"/>
              </w:rPr>
              <w:t>数字福建建设项目管理办法》</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基价表如下：</w:t>
            </w:r>
          </w:p>
          <w:tbl>
            <w:tblPr>
              <w:tblStyle w:val="7"/>
              <w:tblW w:w="8299"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055"/>
              <w:gridCol w:w="3013"/>
              <w:gridCol w:w="2220"/>
              <w:gridCol w:w="2011"/>
            </w:tblGrid>
            <w:tr w14:paraId="2D46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95" w:hRule="atLeast"/>
                <w:tblCellSpacing w:w="15" w:type="dxa"/>
                <w:jc w:val="center"/>
              </w:trPr>
              <w:tc>
                <w:tcPr>
                  <w:tcW w:w="1010" w:type="dxa"/>
                  <w:shd w:val="clear" w:color="auto" w:fill="auto"/>
                  <w:tcMar>
                    <w:top w:w="0" w:type="dxa"/>
                    <w:left w:w="105" w:type="dxa"/>
                    <w:bottom w:w="0" w:type="dxa"/>
                    <w:right w:w="105" w:type="dxa"/>
                  </w:tcMar>
                  <w:vAlign w:val="center"/>
                </w:tcPr>
                <w:p w14:paraId="70F47AC0">
                  <w:pPr>
                    <w:rPr>
                      <w:rFonts w:hint="eastAsia" w:ascii="仿宋" w:hAnsi="仿宋" w:eastAsia="仿宋" w:cs="仿宋"/>
                      <w:b w:val="0"/>
                      <w:bCs w:val="0"/>
                      <w:sz w:val="28"/>
                      <w:szCs w:val="28"/>
                    </w:rPr>
                  </w:pPr>
                  <w:r>
                    <w:rPr>
                      <w:rFonts w:hint="eastAsia" w:ascii="仿宋" w:hAnsi="仿宋" w:eastAsia="仿宋" w:cs="仿宋"/>
                      <w:b w:val="0"/>
                      <w:bCs w:val="0"/>
                      <w:sz w:val="28"/>
                      <w:szCs w:val="28"/>
                    </w:rPr>
                    <w:t>序号</w:t>
                  </w:r>
                </w:p>
              </w:tc>
              <w:tc>
                <w:tcPr>
                  <w:tcW w:w="2983" w:type="dxa"/>
                  <w:shd w:val="clear" w:color="auto" w:fill="auto"/>
                  <w:tcMar>
                    <w:top w:w="0" w:type="dxa"/>
                    <w:left w:w="105" w:type="dxa"/>
                    <w:bottom w:w="0" w:type="dxa"/>
                    <w:right w:w="105" w:type="dxa"/>
                  </w:tcMar>
                  <w:vAlign w:val="center"/>
                </w:tcPr>
                <w:p w14:paraId="6B404348">
                  <w:pPr>
                    <w:rPr>
                      <w:rFonts w:hint="eastAsia" w:ascii="仿宋" w:hAnsi="仿宋" w:eastAsia="仿宋" w:cs="仿宋"/>
                      <w:b w:val="0"/>
                      <w:bCs w:val="0"/>
                      <w:sz w:val="28"/>
                      <w:szCs w:val="28"/>
                    </w:rPr>
                  </w:pPr>
                  <w:r>
                    <w:rPr>
                      <w:rFonts w:hint="eastAsia" w:ascii="仿宋" w:hAnsi="仿宋" w:eastAsia="仿宋" w:cs="仿宋"/>
                      <w:b w:val="0"/>
                      <w:bCs w:val="0"/>
                      <w:sz w:val="28"/>
                      <w:szCs w:val="28"/>
                    </w:rPr>
                    <w:t>项目总投资额（万元）</w:t>
                  </w:r>
                </w:p>
              </w:tc>
              <w:tc>
                <w:tcPr>
                  <w:tcW w:w="2190" w:type="dxa"/>
                  <w:shd w:val="clear" w:color="auto" w:fill="auto"/>
                  <w:tcMar>
                    <w:top w:w="0" w:type="dxa"/>
                    <w:left w:w="105" w:type="dxa"/>
                    <w:bottom w:w="0" w:type="dxa"/>
                    <w:right w:w="105" w:type="dxa"/>
                  </w:tcMar>
                  <w:vAlign w:val="center"/>
                </w:tcPr>
                <w:p w14:paraId="7E4D8C62">
                  <w:pPr>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可研</w:t>
                  </w:r>
                  <w:r>
                    <w:rPr>
                      <w:rFonts w:hint="eastAsia" w:ascii="仿宋" w:hAnsi="仿宋" w:eastAsia="仿宋" w:cs="仿宋"/>
                      <w:b w:val="0"/>
                      <w:bCs w:val="0"/>
                      <w:sz w:val="28"/>
                      <w:szCs w:val="28"/>
                    </w:rPr>
                    <w:t>费比例</w:t>
                  </w:r>
                </w:p>
              </w:tc>
              <w:tc>
                <w:tcPr>
                  <w:tcW w:w="1966" w:type="dxa"/>
                  <w:shd w:val="clear" w:color="auto" w:fill="auto"/>
                  <w:tcMar>
                    <w:top w:w="0" w:type="dxa"/>
                    <w:left w:w="105" w:type="dxa"/>
                    <w:bottom w:w="0" w:type="dxa"/>
                    <w:right w:w="105" w:type="dxa"/>
                  </w:tcMar>
                  <w:vAlign w:val="center"/>
                </w:tcPr>
                <w:p w14:paraId="266F8ABE">
                  <w:pPr>
                    <w:rPr>
                      <w:rFonts w:hint="eastAsia" w:ascii="仿宋" w:hAnsi="仿宋" w:eastAsia="仿宋" w:cs="仿宋"/>
                      <w:b w:val="0"/>
                      <w:bCs w:val="0"/>
                      <w:sz w:val="28"/>
                      <w:szCs w:val="28"/>
                    </w:rPr>
                  </w:pPr>
                  <w:r>
                    <w:rPr>
                      <w:rFonts w:hint="eastAsia" w:ascii="仿宋" w:hAnsi="仿宋" w:eastAsia="仿宋" w:cs="仿宋"/>
                      <w:b w:val="0"/>
                      <w:bCs w:val="0"/>
                      <w:sz w:val="28"/>
                      <w:szCs w:val="28"/>
                    </w:rPr>
                    <w:t>监理费比例</w:t>
                  </w:r>
                </w:p>
              </w:tc>
            </w:tr>
            <w:tr w14:paraId="199B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95" w:hRule="atLeast"/>
                <w:tblCellSpacing w:w="15" w:type="dxa"/>
                <w:jc w:val="center"/>
              </w:trPr>
              <w:tc>
                <w:tcPr>
                  <w:tcW w:w="1010" w:type="dxa"/>
                  <w:shd w:val="clear" w:color="auto" w:fill="auto"/>
                  <w:tcMar>
                    <w:top w:w="0" w:type="dxa"/>
                    <w:left w:w="105" w:type="dxa"/>
                    <w:bottom w:w="0" w:type="dxa"/>
                    <w:right w:w="105" w:type="dxa"/>
                  </w:tcMar>
                  <w:vAlign w:val="center"/>
                </w:tcPr>
                <w:p w14:paraId="2B029CFA">
                  <w:pPr>
                    <w:ind w:firstLine="640"/>
                    <w:rPr>
                      <w:rFonts w:hint="eastAsia" w:ascii="仿宋" w:hAnsi="仿宋" w:eastAsia="仿宋" w:cs="仿宋"/>
                      <w:b w:val="0"/>
                      <w:bCs w:val="0"/>
                      <w:sz w:val="28"/>
                      <w:szCs w:val="28"/>
                    </w:rPr>
                  </w:pPr>
                  <w:r>
                    <w:rPr>
                      <w:rFonts w:hint="eastAsia" w:ascii="仿宋" w:hAnsi="仿宋" w:eastAsia="仿宋" w:cs="仿宋"/>
                      <w:b w:val="0"/>
                      <w:bCs w:val="0"/>
                      <w:sz w:val="28"/>
                      <w:szCs w:val="28"/>
                    </w:rPr>
                    <w:t>1</w:t>
                  </w:r>
                </w:p>
              </w:tc>
              <w:tc>
                <w:tcPr>
                  <w:tcW w:w="2983" w:type="dxa"/>
                  <w:shd w:val="clear" w:color="auto" w:fill="auto"/>
                  <w:tcMar>
                    <w:top w:w="0" w:type="dxa"/>
                    <w:left w:w="105" w:type="dxa"/>
                    <w:bottom w:w="0" w:type="dxa"/>
                    <w:right w:w="105" w:type="dxa"/>
                  </w:tcMar>
                  <w:vAlign w:val="center"/>
                </w:tcPr>
                <w:p w14:paraId="0E8B8233">
                  <w:pPr>
                    <w:ind w:firstLine="64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00（含）以下</w:t>
                  </w:r>
                </w:p>
              </w:tc>
              <w:tc>
                <w:tcPr>
                  <w:tcW w:w="2190" w:type="dxa"/>
                  <w:shd w:val="clear" w:color="auto" w:fill="auto"/>
                  <w:tcMar>
                    <w:top w:w="0" w:type="dxa"/>
                    <w:left w:w="105" w:type="dxa"/>
                    <w:bottom w:w="0" w:type="dxa"/>
                    <w:right w:w="105" w:type="dxa"/>
                  </w:tcMar>
                  <w:vAlign w:val="center"/>
                </w:tcPr>
                <w:p w14:paraId="11228FB7">
                  <w:pPr>
                    <w:ind w:firstLine="640"/>
                    <w:rPr>
                      <w:rFonts w:hint="eastAsia" w:ascii="仿宋" w:hAnsi="仿宋" w:eastAsia="仿宋" w:cs="仿宋"/>
                      <w:b w:val="0"/>
                      <w:bCs w:val="0"/>
                      <w:sz w:val="28"/>
                      <w:szCs w:val="28"/>
                    </w:rPr>
                  </w:pPr>
                  <w:r>
                    <w:rPr>
                      <w:rFonts w:hint="eastAsia" w:ascii="仿宋" w:hAnsi="仿宋" w:eastAsia="仿宋" w:cs="仿宋"/>
                      <w:b w:val="0"/>
                      <w:bCs w:val="0"/>
                      <w:sz w:val="28"/>
                      <w:szCs w:val="28"/>
                    </w:rPr>
                    <w:t>1.0%</w:t>
                  </w:r>
                </w:p>
              </w:tc>
              <w:tc>
                <w:tcPr>
                  <w:tcW w:w="1966" w:type="dxa"/>
                  <w:shd w:val="clear" w:color="auto" w:fill="auto"/>
                  <w:tcMar>
                    <w:top w:w="0" w:type="dxa"/>
                    <w:left w:w="105" w:type="dxa"/>
                    <w:bottom w:w="0" w:type="dxa"/>
                    <w:right w:w="105" w:type="dxa"/>
                  </w:tcMar>
                  <w:vAlign w:val="center"/>
                </w:tcPr>
                <w:p w14:paraId="347E0CA9">
                  <w:pPr>
                    <w:ind w:firstLine="640"/>
                    <w:rPr>
                      <w:rFonts w:hint="default" w:ascii="仿宋" w:hAnsi="仿宋" w:eastAsia="仿宋" w:cs="仿宋"/>
                      <w:b w:val="0"/>
                      <w:bCs w:val="0"/>
                      <w:sz w:val="28"/>
                      <w:szCs w:val="28"/>
                    </w:rPr>
                  </w:pPr>
                  <w:r>
                    <w:rPr>
                      <w:rFonts w:hint="eastAsia" w:ascii="仿宋" w:hAnsi="仿宋" w:eastAsia="仿宋" w:cs="仿宋"/>
                      <w:b w:val="0"/>
                      <w:bCs w:val="0"/>
                      <w:sz w:val="28"/>
                      <w:szCs w:val="28"/>
                    </w:rPr>
                    <w:t>1.0%</w:t>
                  </w:r>
                </w:p>
              </w:tc>
            </w:tr>
          </w:tbl>
          <w:p w14:paraId="598056FE">
            <w:pPr>
              <w:numPr>
                <w:ilvl w:val="0"/>
                <w:numId w:val="0"/>
              </w:num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lang w:val="en-US" w:eastAsia="zh-CN"/>
              </w:rPr>
              <w:t>此项目包含可行性研究暨初步设计方案编制服务、信息化监理服务两项服务内容，本次报价仅报折扣率，[结算方式：例如：投资总额为300万元，如果折扣率为0.9，即折扣后投标报价为2.7万元，投标报价=投资总额*1%*折扣率]。（折扣的报价最多保留小数点后两位，如:0.98、0.95等)。实际具体项目的结算将按照每个项目的实际费用进行结算。[即可研评审通过后的投资概算*1%*折扣率]</w:t>
            </w:r>
          </w:p>
          <w:p w14:paraId="7A70B3D0">
            <w:pPr>
              <w:numPr>
                <w:ilvl w:val="0"/>
                <w:numId w:val="0"/>
              </w:num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3、</w:t>
            </w:r>
            <w:r>
              <w:rPr>
                <w:rFonts w:hint="eastAsia" w:ascii="仿宋" w:hAnsi="仿宋" w:eastAsia="仿宋" w:cs="仿宋"/>
                <w:b/>
                <w:bCs/>
                <w:sz w:val="28"/>
                <w:szCs w:val="28"/>
                <w:lang w:val="en-US" w:eastAsia="zh-CN"/>
              </w:rPr>
              <w:t>其他要求：本项目采用包干制，投标报价应(包含项目过程中产生的项目调研费用、评审费用、文档打印费以及其它不可预见的费用)。</w:t>
            </w:r>
          </w:p>
          <w:p w14:paraId="380619F2">
            <w:pPr>
              <w:numPr>
                <w:ilvl w:val="0"/>
                <w:numId w:val="0"/>
              </w:num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4、</w:t>
            </w:r>
            <w:r>
              <w:rPr>
                <w:rFonts w:hint="eastAsia" w:ascii="仿宋" w:hAnsi="仿宋" w:eastAsia="仿宋" w:cs="仿宋"/>
                <w:sz w:val="28"/>
                <w:szCs w:val="28"/>
                <w:lang w:val="en-US" w:eastAsia="zh-CN"/>
              </w:rPr>
              <w:t>报价格式（附件一）</w:t>
            </w:r>
          </w:p>
          <w:p w14:paraId="7A54A585">
            <w:pPr>
              <w:spacing w:line="600" w:lineRule="exact"/>
              <w:jc w:val="left"/>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附件一：</w:t>
            </w:r>
          </w:p>
          <w:tbl>
            <w:tblPr>
              <w:tblStyle w:val="7"/>
              <w:tblW w:w="47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636"/>
              <w:gridCol w:w="8196"/>
              <w:gridCol w:w="636"/>
              <w:gridCol w:w="636"/>
              <w:gridCol w:w="846"/>
            </w:tblGrid>
            <w:tr w14:paraId="729A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4" w:type="pct"/>
                  <w:shd w:val="clear" w:color="auto" w:fill="FFFFFF"/>
                  <w:noWrap/>
                  <w:tcMar>
                    <w:top w:w="0" w:type="dxa"/>
                    <w:left w:w="108" w:type="dxa"/>
                    <w:bottom w:w="0" w:type="dxa"/>
                    <w:right w:w="108" w:type="dxa"/>
                  </w:tcMar>
                  <w:vAlign w:val="center"/>
                </w:tcPr>
                <w:p w14:paraId="6A8399BA">
                  <w:pPr>
                    <w:jc w:val="center"/>
                    <w:rPr>
                      <w:rFonts w:hint="eastAsia"/>
                      <w:lang w:val="en-US" w:eastAsia="zh-CN"/>
                    </w:rPr>
                  </w:pPr>
                  <w:r>
                    <w:rPr>
                      <w:rFonts w:hint="eastAsia"/>
                      <w:lang w:val="en-US" w:eastAsia="zh-CN"/>
                    </w:rPr>
                    <w:t>序号</w:t>
                  </w:r>
                </w:p>
              </w:tc>
              <w:tc>
                <w:tcPr>
                  <w:tcW w:w="3198" w:type="pct"/>
                  <w:shd w:val="clear" w:color="auto" w:fill="FFFFFF"/>
                  <w:noWrap/>
                  <w:tcMar>
                    <w:top w:w="0" w:type="dxa"/>
                    <w:left w:w="108" w:type="dxa"/>
                    <w:bottom w:w="0" w:type="dxa"/>
                    <w:right w:w="108" w:type="dxa"/>
                  </w:tcMar>
                  <w:vAlign w:val="center"/>
                </w:tcPr>
                <w:p w14:paraId="2189C067">
                  <w:pPr>
                    <w:jc w:val="center"/>
                    <w:rPr>
                      <w:rFonts w:hint="eastAsia"/>
                      <w:lang w:val="en-US" w:eastAsia="zh-CN"/>
                    </w:rPr>
                  </w:pPr>
                  <w:r>
                    <w:rPr>
                      <w:rFonts w:hint="eastAsia"/>
                      <w:lang w:val="en-US" w:eastAsia="zh-CN"/>
                    </w:rPr>
                    <w:t>项目名称</w:t>
                  </w:r>
                </w:p>
              </w:tc>
              <w:tc>
                <w:tcPr>
                  <w:tcW w:w="353" w:type="pct"/>
                  <w:shd w:val="clear" w:color="auto" w:fill="FFFFFF"/>
                  <w:noWrap/>
                  <w:tcMar>
                    <w:top w:w="0" w:type="dxa"/>
                    <w:left w:w="108" w:type="dxa"/>
                    <w:bottom w:w="0" w:type="dxa"/>
                    <w:right w:w="108" w:type="dxa"/>
                  </w:tcMar>
                  <w:vAlign w:val="center"/>
                </w:tcPr>
                <w:p w14:paraId="49390C9D">
                  <w:pPr>
                    <w:jc w:val="center"/>
                    <w:rPr>
                      <w:rFonts w:hint="eastAsia"/>
                      <w:lang w:val="en-US" w:eastAsia="zh-CN"/>
                    </w:rPr>
                  </w:pPr>
                  <w:r>
                    <w:rPr>
                      <w:rFonts w:hint="eastAsia"/>
                      <w:lang w:val="en-US" w:eastAsia="zh-CN"/>
                    </w:rPr>
                    <w:t>数量</w:t>
                  </w:r>
                </w:p>
              </w:tc>
              <w:tc>
                <w:tcPr>
                  <w:tcW w:w="405" w:type="pct"/>
                  <w:shd w:val="clear" w:color="auto" w:fill="FFFFFF"/>
                  <w:noWrap/>
                  <w:tcMar>
                    <w:top w:w="0" w:type="dxa"/>
                    <w:left w:w="108" w:type="dxa"/>
                    <w:bottom w:w="0" w:type="dxa"/>
                    <w:right w:w="108" w:type="dxa"/>
                  </w:tcMar>
                  <w:vAlign w:val="center"/>
                </w:tcPr>
                <w:p w14:paraId="7E214A3E">
                  <w:pPr>
                    <w:jc w:val="center"/>
                    <w:rPr>
                      <w:rFonts w:hint="eastAsia"/>
                      <w:lang w:val="en-US" w:eastAsia="zh-CN"/>
                    </w:rPr>
                  </w:pPr>
                  <w:r>
                    <w:rPr>
                      <w:rFonts w:hint="eastAsia"/>
                      <w:lang w:val="en-US" w:eastAsia="zh-CN"/>
                    </w:rPr>
                    <w:t>单位</w:t>
                  </w:r>
                </w:p>
              </w:tc>
              <w:tc>
                <w:tcPr>
                  <w:tcW w:w="507" w:type="pct"/>
                  <w:shd w:val="clear" w:color="auto" w:fill="FFFFFF"/>
                  <w:noWrap/>
                  <w:tcMar>
                    <w:top w:w="0" w:type="dxa"/>
                    <w:left w:w="108" w:type="dxa"/>
                    <w:bottom w:w="0" w:type="dxa"/>
                    <w:right w:w="108" w:type="dxa"/>
                  </w:tcMar>
                  <w:vAlign w:val="center"/>
                </w:tcPr>
                <w:p w14:paraId="70F69929">
                  <w:pPr>
                    <w:jc w:val="center"/>
                    <w:rPr>
                      <w:rFonts w:hint="default"/>
                      <w:lang w:val="en-US" w:eastAsia="zh-CN"/>
                    </w:rPr>
                  </w:pPr>
                  <w:r>
                    <w:rPr>
                      <w:rFonts w:hint="eastAsia"/>
                      <w:lang w:val="en-US" w:eastAsia="zh-CN"/>
                    </w:rPr>
                    <w:t>折扣率</w:t>
                  </w:r>
                </w:p>
              </w:tc>
            </w:tr>
            <w:tr w14:paraId="4AB3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4" w:type="pct"/>
                  <w:shd w:val="clear" w:color="auto" w:fill="FFFFFF"/>
                  <w:noWrap/>
                  <w:tcMar>
                    <w:top w:w="0" w:type="dxa"/>
                    <w:left w:w="108" w:type="dxa"/>
                    <w:bottom w:w="0" w:type="dxa"/>
                    <w:right w:w="108" w:type="dxa"/>
                  </w:tcMar>
                  <w:vAlign w:val="center"/>
                </w:tcPr>
                <w:p w14:paraId="5A9B7B11">
                  <w:pPr>
                    <w:jc w:val="center"/>
                    <w:rPr>
                      <w:rFonts w:hint="eastAsia"/>
                      <w:lang w:val="en-US" w:eastAsia="zh-CN"/>
                    </w:rPr>
                  </w:pPr>
                  <w:r>
                    <w:rPr>
                      <w:rFonts w:hint="eastAsia"/>
                      <w:lang w:val="en-US" w:eastAsia="zh-CN"/>
                    </w:rPr>
                    <w:t>1</w:t>
                  </w:r>
                </w:p>
              </w:tc>
              <w:tc>
                <w:tcPr>
                  <w:tcW w:w="3198" w:type="pct"/>
                  <w:shd w:val="clear" w:color="auto" w:fill="FFFFFF"/>
                  <w:noWrap/>
                  <w:tcMar>
                    <w:top w:w="0" w:type="dxa"/>
                    <w:left w:w="108" w:type="dxa"/>
                    <w:bottom w:w="0" w:type="dxa"/>
                    <w:right w:w="108" w:type="dxa"/>
                  </w:tcMar>
                  <w:vAlign w:val="center"/>
                </w:tcPr>
                <w:p w14:paraId="0AA7903C">
                  <w:pPr>
                    <w:jc w:val="center"/>
                    <w:rPr>
                      <w:rFonts w:hint="eastAsia"/>
                      <w:lang w:val="en-US" w:eastAsia="zh-CN"/>
                    </w:rPr>
                  </w:pPr>
                  <w:r>
                    <w:rPr>
                      <w:rFonts w:hint="eastAsia"/>
                      <w:lang w:val="en-US" w:eastAsia="zh-CN"/>
                    </w:rPr>
                    <w:t>福建中医药大学附属人民医院年度信息化建设项目可行性研究暨初步设计方案编制服务</w:t>
                  </w:r>
                </w:p>
              </w:tc>
              <w:tc>
                <w:tcPr>
                  <w:tcW w:w="353" w:type="pct"/>
                  <w:shd w:val="clear" w:color="auto" w:fill="FFFFFF"/>
                  <w:noWrap/>
                  <w:tcMar>
                    <w:top w:w="0" w:type="dxa"/>
                    <w:left w:w="108" w:type="dxa"/>
                    <w:bottom w:w="0" w:type="dxa"/>
                    <w:right w:w="108" w:type="dxa"/>
                  </w:tcMar>
                  <w:vAlign w:val="center"/>
                </w:tcPr>
                <w:p w14:paraId="5D410C5A">
                  <w:pPr>
                    <w:jc w:val="center"/>
                    <w:rPr>
                      <w:rFonts w:hint="eastAsia"/>
                      <w:lang w:val="en-US" w:eastAsia="zh-CN"/>
                    </w:rPr>
                  </w:pPr>
                  <w:r>
                    <w:rPr>
                      <w:rFonts w:hint="eastAsia"/>
                      <w:lang w:val="en-US" w:eastAsia="zh-CN"/>
                    </w:rPr>
                    <w:t>1</w:t>
                  </w:r>
                </w:p>
              </w:tc>
              <w:tc>
                <w:tcPr>
                  <w:tcW w:w="405" w:type="pct"/>
                  <w:shd w:val="clear" w:color="auto" w:fill="FFFFFF"/>
                  <w:noWrap/>
                  <w:tcMar>
                    <w:top w:w="0" w:type="dxa"/>
                    <w:left w:w="108" w:type="dxa"/>
                    <w:bottom w:w="0" w:type="dxa"/>
                    <w:right w:w="108" w:type="dxa"/>
                  </w:tcMar>
                  <w:vAlign w:val="center"/>
                </w:tcPr>
                <w:p w14:paraId="3E23FA89">
                  <w:pPr>
                    <w:jc w:val="center"/>
                    <w:rPr>
                      <w:rFonts w:hint="eastAsia"/>
                      <w:lang w:val="en-US" w:eastAsia="zh-CN"/>
                    </w:rPr>
                  </w:pPr>
                  <w:r>
                    <w:rPr>
                      <w:rFonts w:hint="eastAsia"/>
                      <w:lang w:val="en-US" w:eastAsia="zh-CN"/>
                    </w:rPr>
                    <w:t>项</w:t>
                  </w:r>
                </w:p>
              </w:tc>
              <w:tc>
                <w:tcPr>
                  <w:tcW w:w="507" w:type="pct"/>
                  <w:shd w:val="clear" w:color="auto" w:fill="FFFFFF"/>
                  <w:noWrap/>
                  <w:tcMar>
                    <w:top w:w="0" w:type="dxa"/>
                    <w:left w:w="108" w:type="dxa"/>
                    <w:bottom w:w="0" w:type="dxa"/>
                    <w:right w:w="108" w:type="dxa"/>
                  </w:tcMar>
                  <w:vAlign w:val="center"/>
                </w:tcPr>
                <w:p w14:paraId="0A60D200">
                  <w:pPr>
                    <w:jc w:val="center"/>
                    <w:rPr>
                      <w:rFonts w:hint="eastAsia"/>
                      <w:lang w:val="en-US" w:eastAsia="zh-CN"/>
                    </w:rPr>
                  </w:pPr>
                </w:p>
              </w:tc>
            </w:tr>
            <w:tr w14:paraId="66AE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34" w:type="pct"/>
                  <w:shd w:val="clear" w:color="auto" w:fill="FFFFFF"/>
                  <w:noWrap/>
                  <w:tcMar>
                    <w:top w:w="0" w:type="dxa"/>
                    <w:left w:w="108" w:type="dxa"/>
                    <w:bottom w:w="0" w:type="dxa"/>
                    <w:right w:w="108" w:type="dxa"/>
                  </w:tcMar>
                  <w:vAlign w:val="center"/>
                </w:tcPr>
                <w:p w14:paraId="5CD460F4">
                  <w:pPr>
                    <w:jc w:val="center"/>
                    <w:rPr>
                      <w:rFonts w:hint="default"/>
                      <w:lang w:val="en-US" w:eastAsia="zh-CN"/>
                    </w:rPr>
                  </w:pPr>
                  <w:r>
                    <w:rPr>
                      <w:rFonts w:hint="eastAsia"/>
                      <w:lang w:val="en-US" w:eastAsia="zh-CN"/>
                    </w:rPr>
                    <w:t>2</w:t>
                  </w:r>
                </w:p>
              </w:tc>
              <w:tc>
                <w:tcPr>
                  <w:tcW w:w="3198" w:type="pct"/>
                  <w:shd w:val="clear" w:color="auto" w:fill="FFFFFF"/>
                  <w:noWrap/>
                  <w:tcMar>
                    <w:top w:w="0" w:type="dxa"/>
                    <w:left w:w="108" w:type="dxa"/>
                    <w:bottom w:w="0" w:type="dxa"/>
                    <w:right w:w="108" w:type="dxa"/>
                  </w:tcMar>
                  <w:vAlign w:val="center"/>
                </w:tcPr>
                <w:p w14:paraId="59E7E8B5">
                  <w:pPr>
                    <w:jc w:val="center"/>
                    <w:rPr>
                      <w:rFonts w:hint="eastAsia"/>
                      <w:lang w:val="en-US" w:eastAsia="zh-CN"/>
                    </w:rPr>
                  </w:pPr>
                  <w:r>
                    <w:rPr>
                      <w:rFonts w:hint="eastAsia"/>
                      <w:lang w:val="en-US" w:eastAsia="zh-CN"/>
                    </w:rPr>
                    <w:t>福建中医药大学附属人民医院年度信息化建设项目信息化监理服务</w:t>
                  </w:r>
                </w:p>
              </w:tc>
              <w:tc>
                <w:tcPr>
                  <w:tcW w:w="353" w:type="pct"/>
                  <w:shd w:val="clear" w:color="auto" w:fill="FFFFFF"/>
                  <w:noWrap/>
                  <w:tcMar>
                    <w:top w:w="0" w:type="dxa"/>
                    <w:left w:w="108" w:type="dxa"/>
                    <w:bottom w:w="0" w:type="dxa"/>
                    <w:right w:w="108" w:type="dxa"/>
                  </w:tcMar>
                  <w:vAlign w:val="center"/>
                </w:tcPr>
                <w:p w14:paraId="6F8C34C3">
                  <w:pPr>
                    <w:jc w:val="center"/>
                    <w:rPr>
                      <w:rFonts w:hint="eastAsia"/>
                      <w:lang w:val="en-US" w:eastAsia="zh-CN"/>
                    </w:rPr>
                  </w:pPr>
                  <w:r>
                    <w:rPr>
                      <w:rFonts w:hint="eastAsia"/>
                      <w:lang w:val="en-US" w:eastAsia="zh-CN"/>
                    </w:rPr>
                    <w:t>1</w:t>
                  </w:r>
                </w:p>
              </w:tc>
              <w:tc>
                <w:tcPr>
                  <w:tcW w:w="405" w:type="pct"/>
                  <w:shd w:val="clear" w:color="auto" w:fill="FFFFFF"/>
                  <w:noWrap/>
                  <w:tcMar>
                    <w:top w:w="0" w:type="dxa"/>
                    <w:left w:w="108" w:type="dxa"/>
                    <w:bottom w:w="0" w:type="dxa"/>
                    <w:right w:w="108" w:type="dxa"/>
                  </w:tcMar>
                  <w:vAlign w:val="center"/>
                </w:tcPr>
                <w:p w14:paraId="670C2B11">
                  <w:pPr>
                    <w:jc w:val="center"/>
                    <w:rPr>
                      <w:rFonts w:hint="eastAsia"/>
                      <w:lang w:val="en-US" w:eastAsia="zh-CN"/>
                    </w:rPr>
                  </w:pPr>
                  <w:r>
                    <w:rPr>
                      <w:rFonts w:hint="eastAsia"/>
                      <w:lang w:val="en-US" w:eastAsia="zh-CN"/>
                    </w:rPr>
                    <w:t>项</w:t>
                  </w:r>
                </w:p>
              </w:tc>
              <w:tc>
                <w:tcPr>
                  <w:tcW w:w="507" w:type="pct"/>
                  <w:shd w:val="clear" w:color="auto" w:fill="FFFFFF"/>
                  <w:noWrap/>
                  <w:tcMar>
                    <w:top w:w="0" w:type="dxa"/>
                    <w:left w:w="108" w:type="dxa"/>
                    <w:bottom w:w="0" w:type="dxa"/>
                    <w:right w:w="108" w:type="dxa"/>
                  </w:tcMar>
                  <w:vAlign w:val="center"/>
                </w:tcPr>
                <w:p w14:paraId="1440E012">
                  <w:pPr>
                    <w:jc w:val="center"/>
                    <w:rPr>
                      <w:rFonts w:hint="eastAsia"/>
                      <w:lang w:val="en-US" w:eastAsia="zh-CN"/>
                    </w:rPr>
                  </w:pPr>
                </w:p>
              </w:tc>
            </w:tr>
            <w:tr w14:paraId="1A0A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5"/>
                  <w:tcBorders>
                    <w:bottom w:val="single" w:color="auto" w:sz="4" w:space="0"/>
                  </w:tcBorders>
                  <w:shd w:val="clear" w:color="auto" w:fill="FFFFFF"/>
                  <w:noWrap/>
                  <w:tcMar>
                    <w:top w:w="0" w:type="dxa"/>
                    <w:left w:w="108" w:type="dxa"/>
                    <w:bottom w:w="0" w:type="dxa"/>
                    <w:right w:w="108" w:type="dxa"/>
                  </w:tcMar>
                  <w:vAlign w:val="center"/>
                </w:tcPr>
                <w:p w14:paraId="1C734982">
                  <w:pPr>
                    <w:jc w:val="center"/>
                    <w:rPr>
                      <w:rFonts w:hint="eastAsia"/>
                      <w:lang w:val="en-US" w:eastAsia="zh-CN"/>
                    </w:rPr>
                  </w:pPr>
                  <w:r>
                    <w:rPr>
                      <w:rFonts w:hint="eastAsia"/>
                      <w:lang w:val="en-US" w:eastAsia="zh-CN"/>
                    </w:rPr>
                    <w:t>折扣的报价最多保留小数点后两位，如:0.98、0.95等</w:t>
                  </w:r>
                </w:p>
              </w:tc>
            </w:tr>
          </w:tbl>
          <w:p w14:paraId="24D7F713">
            <w:pPr>
              <w:spacing w:line="600" w:lineRule="exact"/>
              <w:jc w:val="left"/>
              <w:rPr>
                <w:rFonts w:hint="eastAsia" w:ascii="仿宋" w:hAnsi="仿宋" w:eastAsia="仿宋" w:cs="仿宋"/>
                <w:b/>
                <w:bCs/>
                <w:sz w:val="32"/>
                <w:szCs w:val="32"/>
                <w:lang w:val="en-US" w:eastAsia="zh-CN"/>
              </w:rPr>
            </w:pPr>
          </w:p>
          <w:p w14:paraId="65129AF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lang w:val="en-US" w:eastAsia="zh-CN"/>
              </w:rPr>
            </w:pPr>
          </w:p>
        </w:tc>
      </w:tr>
      <w:tr w14:paraId="04F0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803" w:type="dxa"/>
            <w:vAlign w:val="center"/>
          </w:tcPr>
          <w:p w14:paraId="2045DA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使用科室</w:t>
            </w:r>
            <w:r>
              <w:rPr>
                <w:rFonts w:hint="eastAsia" w:ascii="宋体" w:hAnsi="宋体" w:eastAsia="宋体" w:cs="宋体"/>
                <w:sz w:val="30"/>
                <w:szCs w:val="30"/>
                <w:vertAlign w:val="baseline"/>
                <w:lang w:val="en-US" w:eastAsia="zh-CN"/>
              </w:rPr>
              <w:br w:type="textWrapping"/>
            </w:r>
            <w:r>
              <w:rPr>
                <w:rFonts w:hint="eastAsia" w:ascii="宋体" w:hAnsi="宋体" w:eastAsia="宋体" w:cs="宋体"/>
                <w:sz w:val="30"/>
                <w:szCs w:val="30"/>
                <w:vertAlign w:val="baseline"/>
                <w:lang w:val="en-US" w:eastAsia="zh-CN"/>
              </w:rPr>
              <w:t>制定需求</w:t>
            </w:r>
          </w:p>
        </w:tc>
        <w:tc>
          <w:tcPr>
            <w:tcW w:w="8236" w:type="dxa"/>
            <w:vAlign w:val="center"/>
          </w:tcPr>
          <w:p w14:paraId="3E5CB0E4">
            <w:pPr>
              <w:jc w:val="center"/>
              <w:rPr>
                <w:rFonts w:hint="eastAsia" w:asciiTheme="minorEastAsia" w:hAnsiTheme="minorEastAsia" w:eastAsiaTheme="minorEastAsia" w:cstheme="minorEastAsia"/>
                <w:sz w:val="30"/>
                <w:szCs w:val="30"/>
                <w:vertAlign w:val="baseline"/>
                <w:lang w:val="en-US" w:eastAsia="zh-CN"/>
              </w:rPr>
            </w:pPr>
          </w:p>
        </w:tc>
      </w:tr>
      <w:tr w14:paraId="47D1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03" w:type="dxa"/>
            <w:vAlign w:val="center"/>
          </w:tcPr>
          <w:p w14:paraId="640346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信息工程师审核</w:t>
            </w:r>
          </w:p>
        </w:tc>
        <w:tc>
          <w:tcPr>
            <w:tcW w:w="8236" w:type="dxa"/>
            <w:vAlign w:val="center"/>
          </w:tcPr>
          <w:p w14:paraId="205FFB32">
            <w:pPr>
              <w:jc w:val="center"/>
              <w:rPr>
                <w:rFonts w:hint="eastAsia" w:asciiTheme="minorEastAsia" w:hAnsiTheme="minorEastAsia" w:eastAsiaTheme="minorEastAsia" w:cstheme="minorEastAsia"/>
                <w:sz w:val="30"/>
                <w:szCs w:val="30"/>
                <w:vertAlign w:val="baseline"/>
                <w:lang w:val="en-US" w:eastAsia="zh-CN"/>
              </w:rPr>
            </w:pPr>
          </w:p>
        </w:tc>
      </w:tr>
    </w:tbl>
    <w:p w14:paraId="106DBA0F">
      <w:pPr>
        <w:jc w:val="both"/>
        <w:rPr>
          <w:rFonts w:hint="default"/>
          <w:sz w:val="52"/>
          <w:szCs w:val="7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020941"/>
    <w:multiLevelType w:val="multilevel"/>
    <w:tmpl w:val="28020941"/>
    <w:lvl w:ilvl="0" w:tentative="0">
      <w:start w:val="1"/>
      <w:numFmt w:val="chineseCountingThousand"/>
      <w:pStyle w:val="2"/>
      <w:suff w:val="nothing"/>
      <w:lvlText w:val="第%1部分"/>
      <w:lvlJc w:val="left"/>
      <w:pPr>
        <w:ind w:left="3686" w:firstLine="0"/>
      </w:pPr>
      <w:rPr>
        <w:rFonts w:hint="eastAsia" w:ascii="黑体" w:eastAsia="黑体"/>
        <w:sz w:val="32"/>
      </w:rPr>
    </w:lvl>
    <w:lvl w:ilvl="1" w:tentative="0">
      <w:start w:val="1"/>
      <w:numFmt w:val="upperLetter"/>
      <w:suff w:val="nothing"/>
      <w:lvlText w:val="%2"/>
      <w:lvlJc w:val="left"/>
      <w:pPr>
        <w:ind w:left="1800" w:firstLine="0"/>
      </w:pPr>
      <w:rPr>
        <w:rFonts w:hint="default" w:ascii="CG Times" w:hAnsi="CG Times"/>
        <w:b/>
        <w:i w:val="0"/>
        <w:sz w:val="28"/>
      </w:rPr>
    </w:lvl>
    <w:lvl w:ilvl="2" w:tentative="0">
      <w:start w:val="1"/>
      <w:numFmt w:val="decimal"/>
      <w:lvlRestart w:val="0"/>
      <w:suff w:val="nothing"/>
      <w:lvlText w:val="%3"/>
      <w:lvlJc w:val="left"/>
      <w:pPr>
        <w:ind w:left="1800" w:firstLine="0"/>
      </w:pPr>
      <w:rPr>
        <w:rFonts w:hint="eastAsia" w:ascii="宋体" w:eastAsia="宋体"/>
        <w:b/>
        <w:i w:val="0"/>
        <w:sz w:val="28"/>
      </w:rPr>
    </w:lvl>
    <w:lvl w:ilvl="3" w:tentative="0">
      <w:start w:val="1"/>
      <w:numFmt w:val="none"/>
      <w:suff w:val="nothing"/>
      <w:lvlText w:val=""/>
      <w:lvlJc w:val="left"/>
      <w:pPr>
        <w:ind w:left="1800" w:firstLine="0"/>
      </w:pPr>
      <w:rPr>
        <w:rFonts w:hint="eastAsia"/>
      </w:rPr>
    </w:lvl>
    <w:lvl w:ilvl="4" w:tentative="0">
      <w:start w:val="1"/>
      <w:numFmt w:val="none"/>
      <w:suff w:val="nothing"/>
      <w:lvlText w:val=""/>
      <w:lvlJc w:val="left"/>
      <w:pPr>
        <w:ind w:left="1800" w:firstLine="0"/>
      </w:pPr>
      <w:rPr>
        <w:rFonts w:hint="eastAsia"/>
      </w:rPr>
    </w:lvl>
    <w:lvl w:ilvl="5" w:tentative="0">
      <w:start w:val="1"/>
      <w:numFmt w:val="none"/>
      <w:suff w:val="nothing"/>
      <w:lvlText w:val=""/>
      <w:lvlJc w:val="left"/>
      <w:pPr>
        <w:ind w:left="1800" w:firstLine="0"/>
      </w:pPr>
      <w:rPr>
        <w:rFonts w:hint="eastAsia"/>
      </w:rPr>
    </w:lvl>
    <w:lvl w:ilvl="6" w:tentative="0">
      <w:start w:val="1"/>
      <w:numFmt w:val="none"/>
      <w:suff w:val="nothing"/>
      <w:lvlText w:val=""/>
      <w:lvlJc w:val="left"/>
      <w:pPr>
        <w:ind w:left="1800" w:firstLine="0"/>
      </w:pPr>
      <w:rPr>
        <w:rFonts w:hint="eastAsia"/>
      </w:rPr>
    </w:lvl>
    <w:lvl w:ilvl="7" w:tentative="0">
      <w:start w:val="1"/>
      <w:numFmt w:val="none"/>
      <w:suff w:val="nothing"/>
      <w:lvlText w:val=""/>
      <w:lvlJc w:val="left"/>
      <w:pPr>
        <w:ind w:left="1800" w:firstLine="0"/>
      </w:pPr>
      <w:rPr>
        <w:rFonts w:hint="eastAsia"/>
      </w:rPr>
    </w:lvl>
    <w:lvl w:ilvl="8" w:tentative="0">
      <w:start w:val="1"/>
      <w:numFmt w:val="none"/>
      <w:suff w:val="nothing"/>
      <w:lvlText w:val=""/>
      <w:lvlJc w:val="left"/>
      <w:pPr>
        <w:ind w:left="180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iZmU2ODZjNWJhMjY3N2QzYmRjOThhNmU0MmQ4ZDkifQ=="/>
  </w:docVars>
  <w:rsids>
    <w:rsidRoot w:val="56B06D87"/>
    <w:rsid w:val="0A78582D"/>
    <w:rsid w:val="0AA712A6"/>
    <w:rsid w:val="0DA24BFC"/>
    <w:rsid w:val="119E3F82"/>
    <w:rsid w:val="13484A19"/>
    <w:rsid w:val="14EC4689"/>
    <w:rsid w:val="1B217214"/>
    <w:rsid w:val="1D855412"/>
    <w:rsid w:val="21512EBC"/>
    <w:rsid w:val="320E1D12"/>
    <w:rsid w:val="336F7659"/>
    <w:rsid w:val="38722254"/>
    <w:rsid w:val="3C223052"/>
    <w:rsid w:val="41D92DFF"/>
    <w:rsid w:val="4B9E753F"/>
    <w:rsid w:val="4D663D4A"/>
    <w:rsid w:val="528F19C6"/>
    <w:rsid w:val="568E20BE"/>
    <w:rsid w:val="56B06D87"/>
    <w:rsid w:val="59803D33"/>
    <w:rsid w:val="59CA5FB9"/>
    <w:rsid w:val="5AF1294C"/>
    <w:rsid w:val="5EC608D8"/>
    <w:rsid w:val="628341B5"/>
    <w:rsid w:val="64EE365A"/>
    <w:rsid w:val="659D3FA3"/>
    <w:rsid w:val="68A869C0"/>
    <w:rsid w:val="6940532F"/>
    <w:rsid w:val="69D87C9F"/>
    <w:rsid w:val="6A0A597F"/>
    <w:rsid w:val="6ED91C51"/>
    <w:rsid w:val="6F6C3575"/>
    <w:rsid w:val="6FFABE06"/>
    <w:rsid w:val="75EF736E"/>
    <w:rsid w:val="78CF064A"/>
    <w:rsid w:val="7BAC4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rFonts w:eastAsia="黑体"/>
      <w:b/>
      <w:kern w:val="44"/>
      <w:sz w:val="36"/>
      <w:szCs w:val="20"/>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toa heading"/>
    <w:basedOn w:val="1"/>
    <w:next w:val="1"/>
    <w:qFormat/>
    <w:uiPriority w:val="99"/>
    <w:pPr>
      <w:spacing w:before="120"/>
    </w:pPr>
    <w:rPr>
      <w:rFonts w:ascii="Arial" w:hAnsi="Arial"/>
      <w:sz w:val="24"/>
    </w:rPr>
  </w:style>
  <w:style w:type="paragraph" w:styleId="4">
    <w:name w:val="Body Text"/>
    <w:basedOn w:val="1"/>
    <w:next w:val="5"/>
    <w:qFormat/>
    <w:uiPriority w:val="99"/>
    <w:pPr>
      <w:ind w:firstLine="420"/>
    </w:pPr>
    <w:rPr>
      <w:rFonts w:ascii="Calibri" w:hAnsi="Calibri"/>
      <w:lang w:val="zh-CN"/>
    </w:rPr>
  </w:style>
  <w:style w:type="paragraph" w:styleId="5">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1688</Words>
  <Characters>1702</Characters>
  <Lines>0</Lines>
  <Paragraphs>0</Paragraphs>
  <TotalTime>0</TotalTime>
  <ScaleCrop>false</ScaleCrop>
  <LinksUpToDate>false</LinksUpToDate>
  <CharactersWithSpaces>1707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2024-08-28T10:42:00Z</dcterms:created>
  <dc:creator>郑丹</dc:creator>
  <cp:lastModifiedBy>潘林</cp:lastModifiedBy>
  <cp:lastPrinted>2025-07-28T10:14:00Z</cp:lastPrinted>
  <dcterms:modified xsi:type="dcterms:W3CDTF">2026-01-16T06:06:37Z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A5897859C47E483EB012FE490FC18DFE_13</vt:lpwstr>
  </property>
  <property fmtid="{D5CDD505-2E9C-101B-9397-08002B2CF9AE}" pid="4" name="KSOTemplateDocerSaveRecord">
    <vt:lpwstr>eyJoZGlkIjoiZjdmODllMjU1NzI3NmRiNjYzZDU4MTNjYTliYmJiOTciLCJ1c2VySWQiOiIxNjQwMDcwMjg4In0=</vt:lpwstr>
  </property>
</Properties>
</file>