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16B2">
      <w:pPr>
        <w:jc w:val="center"/>
        <w:rPr>
          <w:rFonts w:hint="default"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项目参数表</w:t>
      </w:r>
    </w:p>
    <w:tbl>
      <w:tblPr>
        <w:tblStyle w:val="4"/>
        <w:tblW w:w="8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6250"/>
      </w:tblGrid>
      <w:tr w14:paraId="7C6E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03" w:type="dxa"/>
            <w:noWrap w:val="0"/>
            <w:vAlign w:val="center"/>
          </w:tcPr>
          <w:p w14:paraId="13038449">
            <w:pPr>
              <w:jc w:val="center"/>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项目名称</w:t>
            </w:r>
          </w:p>
        </w:tc>
        <w:tc>
          <w:tcPr>
            <w:tcW w:w="6250" w:type="dxa"/>
            <w:noWrap w:val="0"/>
            <w:vAlign w:val="center"/>
          </w:tcPr>
          <w:p w14:paraId="41A69F72">
            <w:pPr>
              <w:jc w:val="center"/>
              <w:rPr>
                <w:rFonts w:hint="default"/>
                <w:color w:val="000000"/>
                <w:sz w:val="30"/>
                <w:szCs w:val="30"/>
                <w:vertAlign w:val="baseline"/>
                <w:lang w:val="en-US" w:eastAsia="zh-CN"/>
              </w:rPr>
            </w:pPr>
            <w:r>
              <w:rPr>
                <w:rFonts w:hint="default"/>
                <w:color w:val="000000"/>
                <w:sz w:val="30"/>
                <w:szCs w:val="30"/>
                <w:vertAlign w:val="baseline"/>
                <w:lang w:val="en-US" w:eastAsia="zh-CN"/>
              </w:rPr>
              <w:t>外网信创终端安全管理系统</w:t>
            </w:r>
          </w:p>
        </w:tc>
      </w:tr>
      <w:tr w14:paraId="2072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1" w:hRule="atLeast"/>
          <w:jc w:val="center"/>
        </w:trPr>
        <w:tc>
          <w:tcPr>
            <w:tcW w:w="8053" w:type="dxa"/>
            <w:gridSpan w:val="2"/>
            <w:noWrap w:val="0"/>
            <w:vAlign w:val="top"/>
          </w:tcPr>
          <w:p w14:paraId="35A374E7">
            <w:pPr>
              <w:numPr>
                <w:ilvl w:val="0"/>
                <w:numId w:val="0"/>
              </w:numPr>
              <w:jc w:val="both"/>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技术要求</w:t>
            </w:r>
          </w:p>
          <w:p w14:paraId="5AA2FB9C">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1、提供院内外网信创终端安全管</w:t>
            </w:r>
            <w:bookmarkStart w:id="0" w:name="_GoBack"/>
            <w:bookmarkEnd w:id="0"/>
            <w:r>
              <w:rPr>
                <w:rFonts w:hint="eastAsia" w:ascii="宋体" w:hAnsi="宋体" w:eastAsia="宋体" w:cs="宋体"/>
                <w:sz w:val="30"/>
                <w:szCs w:val="30"/>
                <w:vertAlign w:val="baseline"/>
                <w:lang w:val="en-US" w:eastAsia="zh-CN"/>
              </w:rPr>
              <w:t>理系统软件版本和技术支持服务，其中信创PC客户端授权续保服务：200个授权点数，服务期限：3年，包含：信创PC客户端功能模块升级：防病毒+补丁管理+运维管控+资产管理功能授权，同时提供新版本升级权限。</w:t>
            </w:r>
          </w:p>
          <w:p w14:paraId="215FF96E">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2、病毒扫描支持扫描所有文件和仅扫描程序及文档文件设置，支持对压缩包文件设置最大扫描层数和大小，当发现压缩包内存在病毒时，还需继续扫描压缩包内其他文件。</w:t>
            </w:r>
          </w:p>
          <w:p w14:paraId="567118F8">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3、客户端主程序、病毒库版本支持按分组和多批次进行灰度更新，保持在低风险中完成终端能力更新。支持设置不同终端类型设置和每批次观察时长。当检测到新版本将从第一批次重新观察。</w:t>
            </w:r>
          </w:p>
          <w:p w14:paraId="5C2ED6B5">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4、支持终端密码保护功能，支持终端“防退出”密码保护、“防卸载”密码保护、防安装密码保护。支持设置自我保护功能，可有效防止客户端进程被恶意终止、注入、提高客户端进程、数据、配置的安全性。</w:t>
            </w:r>
          </w:p>
          <w:p w14:paraId="76D52AB4">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5、支持按照补丁的维度统计补丁安装情况，包括补丁号、系统类型、补丁类型、补丁级别、补丁名称、补丁描述、发布日期、漏洞CVE编号、漏洞CNNVD编号、未安装、已安装、已安装未生效、已排除、未更新补丁库。并支持导出统计报表。</w:t>
            </w:r>
          </w:p>
          <w:p w14:paraId="0E622462">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6、支持管理中心自动获取最新版本补丁库。支持获取的最新版本补丁库在正式更新到全网终端前，自动做灰度测试发布：支持在管理中心设置好灰度测试发布的终端；支持终端分批次发布；支持设置灰度测试发布持续时间；支持补丁库版本灰度测试发布后自动转为全网可更新版本。支持客户端可自动更新全网可更新版本。支持以上配置后，管理中心从获取最新版本补丁库、灰度测试、全网发布的自动化编排。</w:t>
            </w:r>
          </w:p>
          <w:p w14:paraId="083CF58F">
            <w:pPr>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7、支持对单点维护功能，可远程查看终端实时运行的进程，需要包含进程名称，进程用户、命令行（执行路径+执行参数）、内存占用、支持远程结束进程。支持远程查看计算机各个网卡配置信息；支持远程协助。</w:t>
            </w:r>
          </w:p>
          <w:p w14:paraId="39441BB9">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8、支持对终端节能管理，支持定时关机设定节能策略并自动关机。并支持提示倒计时弹窗，可设置在终端取消后下一次提醒时间。</w:t>
            </w:r>
          </w:p>
          <w:p w14:paraId="0F363083">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9、提供体系化防护能力，支持集成病毒查杀、漏洞防护、支持多种部署环境、主动防御深度融合威胁情报、详细的安全日志，为政企单位业务终端提供体系化防护能力。</w:t>
            </w:r>
          </w:p>
          <w:p w14:paraId="149EEBEA">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10、支持终端概况呈现，产品首页支持呈现在线终端、风险终端、今日风险告警数、CPU、内存、硬盘等信息。</w:t>
            </w:r>
          </w:p>
          <w:p w14:paraId="15EB53E2">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11、支持基础安全防护，产品首页支持呈现最近7天病毒查杀、实时防护、主动防御、漏洞补丁等信息。</w:t>
            </w:r>
          </w:p>
          <w:p w14:paraId="2BC0A8BC">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12、支持安全概览呈现，产品首页支持呈现待处理病毒终端、漏洞补丁统计、告警信息&amp;趋势等信息。</w:t>
            </w:r>
          </w:p>
          <w:p w14:paraId="1E13A01F">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13、支持病毒查杀趋势呈现，产品首页支持呈现扫出病毒数、已查杀病毒数、未处理病毒数等信息。</w:t>
            </w:r>
          </w:p>
          <w:p w14:paraId="1DFEBA14">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14、为保证产品具备未知病毒检测并产生告警信息，具备压缩文件检测、加壳文件检测、格式混淆检测、捆绑文件检测、静态文件二进制特征、动态行为特征、路径和文件名称、病毒名称、检测日期和时间等安全检测能力。</w:t>
            </w:r>
          </w:p>
          <w:p w14:paraId="7EB3CD88">
            <w:pPr>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15、为保证产品具备病毒检测，病毒检测范围涵盖主机磁盘、主机内存、主机引导区、移动存储介质等方向。</w:t>
            </w:r>
          </w:p>
          <w:p w14:paraId="7DE83AB0">
            <w:pPr>
              <w:pStyle w:val="2"/>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16、外网信创终端安全管理控制中心须与内网的终端安全管理系统控制中心进行级联部署，实现策略的统一下发、病毒日志、补丁日志统一上报等。</w:t>
            </w:r>
          </w:p>
          <w:p w14:paraId="156339E4">
            <w:pPr>
              <w:numPr>
                <w:ilvl w:val="0"/>
                <w:numId w:val="0"/>
              </w:numPr>
              <w:jc w:val="both"/>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商务要求</w:t>
            </w:r>
          </w:p>
          <w:p w14:paraId="76867C60">
            <w:pPr>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t>1、日常运维技术支持服务。负责对产生故障的设备进行故障诊断和排查。检测设备工作状态和工作性能，必要时协助升级系统软件，并记录备案，及时处理各类设备故障。（提供承诺函，格式自拟，加盖投标人公章）</w:t>
            </w:r>
          </w:p>
          <w:p w14:paraId="3782547E">
            <w:pPr>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t>2、应急响应服务。提供7×24小时的远程技术热线支持，在0.5小时内响应。当需要现场维护服务时，故障响应时间：宕机故障，0.5小时响应，4小时到达现场。发生不影响生产的一般故障1小时响应，8小时到达现场。（提供承诺函，格式自拟，加盖投标人公章）</w:t>
            </w:r>
          </w:p>
          <w:p w14:paraId="0E21AF9C">
            <w:pPr>
              <w:jc w:val="both"/>
              <w:rPr>
                <w:rFonts w:hint="eastAsia" w:ascii="宋体" w:hAnsi="宋体" w:eastAsia="宋体" w:cs="宋体"/>
                <w:color w:val="000000"/>
                <w:sz w:val="30"/>
                <w:szCs w:val="30"/>
                <w:vertAlign w:val="baseline"/>
                <w:lang w:val="en-US" w:eastAsia="zh-CN"/>
              </w:rPr>
            </w:pPr>
            <w:r>
              <w:rPr>
                <w:rFonts w:hint="eastAsia" w:ascii="宋体" w:hAnsi="宋体" w:eastAsia="宋体" w:cs="宋体"/>
                <w:sz w:val="30"/>
                <w:szCs w:val="30"/>
                <w:vertAlign w:val="baseline"/>
                <w:lang w:val="en-US" w:eastAsia="zh-CN"/>
              </w:rPr>
              <w:t>3</w:t>
            </w:r>
            <w:r>
              <w:rPr>
                <w:rFonts w:hint="default" w:ascii="宋体" w:hAnsi="宋体" w:eastAsia="宋体" w:cs="宋体"/>
                <w:sz w:val="30"/>
                <w:szCs w:val="30"/>
                <w:vertAlign w:val="baseline"/>
                <w:lang w:val="en-US" w:eastAsia="zh-CN"/>
              </w:rPr>
              <w:t>、需提供售后服务方案(包括但不限于售后服务计划、响应情况、人员安排等方面)，方案包含以上要点，内容与要点相符、且措施具体能够适用。</w:t>
            </w:r>
          </w:p>
        </w:tc>
      </w:tr>
      <w:tr w14:paraId="4149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803" w:type="dxa"/>
            <w:noWrap w:val="0"/>
            <w:vAlign w:val="center"/>
          </w:tcPr>
          <w:p w14:paraId="4D883E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使用科室</w:t>
            </w:r>
            <w:r>
              <w:rPr>
                <w:rFonts w:hint="eastAsia" w:ascii="宋体" w:hAnsi="宋体" w:eastAsia="宋体" w:cs="宋体"/>
                <w:color w:val="000000"/>
                <w:sz w:val="30"/>
                <w:szCs w:val="30"/>
                <w:vertAlign w:val="baseline"/>
                <w:lang w:val="en-US" w:eastAsia="zh-CN"/>
              </w:rPr>
              <w:br w:type="textWrapping"/>
            </w:r>
            <w:r>
              <w:rPr>
                <w:rFonts w:hint="eastAsia" w:ascii="宋体" w:hAnsi="宋体" w:eastAsia="宋体" w:cs="宋体"/>
                <w:color w:val="000000"/>
                <w:sz w:val="30"/>
                <w:szCs w:val="30"/>
                <w:vertAlign w:val="baseline"/>
                <w:lang w:val="en-US" w:eastAsia="zh-CN"/>
              </w:rPr>
              <w:t>制定参数并集体确认</w:t>
            </w:r>
          </w:p>
        </w:tc>
        <w:tc>
          <w:tcPr>
            <w:tcW w:w="6250" w:type="dxa"/>
            <w:noWrap w:val="0"/>
            <w:vAlign w:val="center"/>
          </w:tcPr>
          <w:p w14:paraId="6B91BA42">
            <w:pPr>
              <w:jc w:val="center"/>
              <w:rPr>
                <w:rFonts w:hint="eastAsia" w:ascii="宋体" w:hAnsi="宋体" w:eastAsia="宋体" w:cs="宋体"/>
                <w:color w:val="000000"/>
                <w:sz w:val="30"/>
                <w:szCs w:val="30"/>
                <w:vertAlign w:val="baseline"/>
                <w:lang w:val="en-US" w:eastAsia="zh-CN"/>
              </w:rPr>
            </w:pPr>
          </w:p>
        </w:tc>
      </w:tr>
      <w:tr w14:paraId="3CDE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03" w:type="dxa"/>
            <w:noWrap w:val="0"/>
            <w:vAlign w:val="center"/>
          </w:tcPr>
          <w:p w14:paraId="6E649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信息工程师审核</w:t>
            </w:r>
          </w:p>
        </w:tc>
        <w:tc>
          <w:tcPr>
            <w:tcW w:w="6250" w:type="dxa"/>
            <w:noWrap w:val="0"/>
            <w:vAlign w:val="center"/>
          </w:tcPr>
          <w:p w14:paraId="27924EFC">
            <w:pPr>
              <w:jc w:val="center"/>
              <w:rPr>
                <w:rFonts w:hint="eastAsia" w:ascii="宋体" w:hAnsi="宋体" w:eastAsia="宋体" w:cs="宋体"/>
                <w:color w:val="000000"/>
                <w:sz w:val="30"/>
                <w:szCs w:val="30"/>
                <w:vertAlign w:val="baseline"/>
                <w:lang w:val="en-US" w:eastAsia="zh-CN"/>
              </w:rPr>
            </w:pPr>
          </w:p>
        </w:tc>
      </w:tr>
      <w:tr w14:paraId="43A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803" w:type="dxa"/>
            <w:noWrap w:val="0"/>
            <w:vAlign w:val="center"/>
          </w:tcPr>
          <w:p w14:paraId="53907F99">
            <w:pPr>
              <w:jc w:val="center"/>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信息管理处</w:t>
            </w:r>
          </w:p>
        </w:tc>
        <w:tc>
          <w:tcPr>
            <w:tcW w:w="6250" w:type="dxa"/>
            <w:noWrap w:val="0"/>
            <w:vAlign w:val="center"/>
          </w:tcPr>
          <w:p w14:paraId="325ACAD9">
            <w:pPr>
              <w:jc w:val="center"/>
              <w:rPr>
                <w:rFonts w:hint="eastAsia" w:ascii="宋体" w:hAnsi="宋体" w:eastAsia="宋体" w:cs="宋体"/>
                <w:color w:val="000000"/>
                <w:sz w:val="30"/>
                <w:szCs w:val="30"/>
                <w:vertAlign w:val="baseline"/>
                <w:lang w:val="en-US" w:eastAsia="zh-CN"/>
              </w:rPr>
            </w:pPr>
          </w:p>
        </w:tc>
      </w:tr>
    </w:tbl>
    <w:p w14:paraId="6955D2E4">
      <w:pPr>
        <w:jc w:val="both"/>
        <w:rPr>
          <w:rFonts w:hint="default"/>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14EC4689"/>
    <w:rsid w:val="1B217214"/>
    <w:rsid w:val="2DED5A43"/>
    <w:rsid w:val="310437A5"/>
    <w:rsid w:val="3EAB5148"/>
    <w:rsid w:val="4D663D4A"/>
    <w:rsid w:val="56B06D87"/>
    <w:rsid w:val="628341B5"/>
    <w:rsid w:val="68A869C0"/>
    <w:rsid w:val="78CF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Words>
  <Characters>34</Characters>
  <Lines>0</Lines>
  <Paragraphs>0</Paragraphs>
  <TotalTime>0</TotalTime>
  <ScaleCrop>false</ScaleCrop>
  <LinksUpToDate>false</LinksUpToDate>
  <CharactersWithSpaces>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Administrator</cp:lastModifiedBy>
  <dcterms:modified xsi:type="dcterms:W3CDTF">2026-02-26T08:28:22Z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3257D42C183F4AFD84A429D51533EE0B_13</vt:lpwstr>
  </property>
  <property fmtid="{D5CDD505-2E9C-101B-9397-08002B2CF9AE}" pid="4" name="KSOTemplateDocerSaveRecord">
    <vt:lpwstr>eyJoZGlkIjoiZGM5ZjFmYTVlYWMwNWJjMGJhMGZhN2QxYzg5OTJmMTUiLCJ1c2VySWQiOiIzNTkwOTM2ODEifQ==</vt:lpwstr>
  </property>
</Properties>
</file>