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F9F54">
      <w:pPr>
        <w:jc w:val="center"/>
        <w:rPr>
          <w:rFonts w:hint="eastAsia" w:ascii="黑体" w:hAnsi="黑体" w:eastAsia="黑体" w:cs="黑体"/>
          <w:color w:val="000000"/>
          <w:sz w:val="44"/>
          <w:szCs w:val="44"/>
          <w:lang w:val="en-US" w:eastAsia="zh-CN"/>
        </w:rPr>
      </w:pPr>
      <w:r>
        <w:rPr>
          <w:rFonts w:hint="eastAsia" w:ascii="黑体" w:hAnsi="黑体" w:eastAsia="黑体" w:cs="黑体"/>
          <w:color w:val="000000"/>
          <w:sz w:val="44"/>
          <w:szCs w:val="44"/>
          <w:lang w:val="en-US" w:eastAsia="zh-CN"/>
        </w:rPr>
        <w:t>项目参数表</w:t>
      </w:r>
    </w:p>
    <w:tbl>
      <w:tblPr>
        <w:tblStyle w:val="3"/>
        <w:tblpPr w:leftFromText="180" w:rightFromText="180" w:vertAnchor="page" w:horzAnchor="page" w:tblpX="2016" w:tblpY="2690"/>
        <w:tblOverlap w:val="never"/>
        <w:tblW w:w="8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6250"/>
      </w:tblGrid>
      <w:tr w14:paraId="5448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803" w:type="dxa"/>
            <w:noWrap w:val="0"/>
            <w:vAlign w:val="top"/>
          </w:tcPr>
          <w:p w14:paraId="78E309C7">
            <w:pPr>
              <w:jc w:val="left"/>
              <w:rPr>
                <w:rFonts w:hint="eastAsia" w:ascii="宋体" w:hAnsi="宋体" w:eastAsia="宋体" w:cs="宋体"/>
                <w:color w:val="000000"/>
                <w:sz w:val="30"/>
                <w:szCs w:val="30"/>
                <w:vertAlign w:val="baseline"/>
                <w:lang w:val="en-US" w:eastAsia="zh-CN"/>
              </w:rPr>
            </w:pPr>
            <w:r>
              <w:rPr>
                <w:rFonts w:hint="eastAsia" w:ascii="宋体" w:hAnsi="宋体" w:eastAsia="宋体" w:cs="宋体"/>
                <w:color w:val="000000"/>
                <w:sz w:val="30"/>
                <w:szCs w:val="30"/>
                <w:vertAlign w:val="baseline"/>
                <w:lang w:val="en-US" w:eastAsia="zh-CN"/>
              </w:rPr>
              <w:t>项目名称</w:t>
            </w:r>
          </w:p>
        </w:tc>
        <w:tc>
          <w:tcPr>
            <w:tcW w:w="6250" w:type="dxa"/>
            <w:noWrap w:val="0"/>
            <w:vAlign w:val="top"/>
          </w:tcPr>
          <w:p w14:paraId="09224ACB">
            <w:pPr>
              <w:jc w:val="left"/>
              <w:rPr>
                <w:rFonts w:hint="default"/>
                <w:color w:val="000000"/>
                <w:sz w:val="30"/>
                <w:szCs w:val="30"/>
                <w:vertAlign w:val="baseline"/>
                <w:lang w:val="en-US" w:eastAsia="zh-CN"/>
              </w:rPr>
            </w:pPr>
            <w:bookmarkStart w:id="0" w:name="_GoBack"/>
            <w:r>
              <w:rPr>
                <w:rFonts w:hint="eastAsia" w:ascii="宋体" w:hAnsi="宋体" w:eastAsia="宋体" w:cs="宋体"/>
                <w:color w:val="000000"/>
                <w:sz w:val="32"/>
                <w:szCs w:val="32"/>
                <w:vertAlign w:val="baseline"/>
                <w:lang w:val="en-US" w:eastAsia="zh-CN"/>
              </w:rPr>
              <w:t>科研绩效评定服务项目</w:t>
            </w:r>
            <w:bookmarkEnd w:id="0"/>
            <w:r>
              <w:rPr>
                <w:rFonts w:hint="eastAsia" w:ascii="宋体" w:hAnsi="宋体" w:eastAsia="宋体" w:cs="宋体"/>
                <w:color w:val="000000"/>
                <w:sz w:val="32"/>
                <w:szCs w:val="32"/>
                <w:vertAlign w:val="baseline"/>
                <w:lang w:val="en-US" w:eastAsia="zh-CN"/>
              </w:rPr>
              <w:t>采购</w:t>
            </w:r>
          </w:p>
        </w:tc>
      </w:tr>
      <w:tr w14:paraId="5C84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1" w:hRule="atLeast"/>
          <w:jc w:val="center"/>
        </w:trPr>
        <w:tc>
          <w:tcPr>
            <w:tcW w:w="8053" w:type="dxa"/>
            <w:gridSpan w:val="2"/>
            <w:noWrap w:val="0"/>
            <w:vAlign w:val="top"/>
          </w:tcPr>
          <w:p w14:paraId="5C893DBC">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一、整体服务需求</w:t>
            </w:r>
          </w:p>
          <w:p w14:paraId="2F8892B3">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1.系统数据对接：本项目须与福建中医药大学科研成果绩点管理系统完成数据对接服务，系统对接完成后要求功能与服务标准均完全一致，以确保校、院两级科研成果数据的接入互通。</w:t>
            </w:r>
          </w:p>
          <w:p w14:paraId="737101EE">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2.学术成果数据归集服务：提供对本院学术论文数据的全面收集服务，数据来源需覆盖WOS、EI、SCI、Scopus、A&amp;HCI、知网、万方、维普等主流数据库。</w:t>
            </w:r>
          </w:p>
          <w:p w14:paraId="2CF2652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3.通用评价指标标引服务：针对各项成果数据，提供通用评价指标的信息标引服务，涵盖中科院分区信息、JCR分区信息、CSSCI、CSCD、北大核心收录信息等。</w:t>
            </w:r>
          </w:p>
          <w:p w14:paraId="6E3240C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4.成果等级标识服务：依据本院科技处制定的成果绩效评定规则，提供将每篇学术论文进行精准成果等级标识的服务。</w:t>
            </w:r>
          </w:p>
          <w:p w14:paraId="54AE5EE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5.学者智能匹配与归属服务：通过对接本院信息化系统获取组织架构及学者清单，利用机器算法将标引治理后的科研成果数据自动归属并匹配到对应的学者名下。</w:t>
            </w:r>
          </w:p>
          <w:p w14:paraId="68571AE3">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6.科研成果认领平台服务：构建面向全院学者的科研成果认领服务平台，支持便捷化的成果确认操作。</w:t>
            </w:r>
          </w:p>
          <w:p w14:paraId="25416CE3">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7.绩效得分计算与展示服务：基于认领后的成果数据及既定绩效评定规则，提供最终绩效得分的计算服务，并支持相关职能部门查看统计结果。</w:t>
            </w:r>
          </w:p>
          <w:p w14:paraId="724C7ED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8.多级角色权限管理服务：系统需提供学者、科研处管理员等多种角色的分级权限管理与使用服务。</w:t>
            </w:r>
          </w:p>
          <w:p w14:paraId="2F33EB0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二、学术成果数据保障服务</w:t>
            </w:r>
          </w:p>
          <w:p w14:paraId="7E6C7EC9">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中央数据库供给服务：构建学术成果资源中央数据库供给体系，数据范围须涵盖本院评价所需的主要数据库，包括WOS系列（SCIE、SSCI、A&amp;HCI、CPSI-S、CPCI-SSH等）、EI、Scopus、OA期刊、知网、维普、万方及CSCD、CSSCI等常用期刊与会议数据库。</w:t>
            </w:r>
          </w:p>
          <w:p w14:paraId="582F7C9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2.多类型文献元数据服务：提供的文献元数据服务类型应包含期刊论文、会议论文以及专利。</w:t>
            </w:r>
          </w:p>
          <w:p w14:paraId="60A5E2E6">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3.标准化数据加工服务：中央数据库文献元数据的加工粒度需达到文献篇级，且数据加工标准须符合DC标准。</w:t>
            </w:r>
          </w:p>
          <w:p w14:paraId="0D6B81E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4.多维度字段描述服务：元数据描述采用DC标准，提供不少于30个字段的信息服务，包括标题、作者、作者机构、出版时间、卷、期、关键词、摘要、基金赞助、核心收录、ISSN、EISSN、国内出版号、中图分类、学科、DOI、语言、来源、文献类型等基本字段。</w:t>
            </w:r>
          </w:p>
          <w:p w14:paraId="11FB92E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5.双重分类体系标引服务：在元数据加工过程中，需根据映射关系同步提供中图分类与教育部学科分类信息的标引服务。其中，中图分类精度需达到最小分类级别，教育部学科分类精度需达到一级学科。</w:t>
            </w:r>
          </w:p>
          <w:p w14:paraId="63642FCC">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6.跨库合并去重服务：提供不同来源相同文献元数据的合并去重服务，确保相同文献仅保留一条元数据但保留不同来源数据库的收录信息；需按文献类型区分合并依据，并运用有效技术手段保障去重准确率。</w:t>
            </w:r>
          </w:p>
          <w:p w14:paraId="2EBE33B0">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7.来源溯源标识服务：库内不同来源的文献元数据均需提供明确的来源标识服务，标明其在原来源数据库中的唯一ID及对应的URL访问地址。</w:t>
            </w:r>
          </w:p>
          <w:p w14:paraId="7CCFE98D">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8.定期更新时效保障服务：提供中央数据库元数据的持续定期更新服务，确保更新延迟处于合理范围内，其中期刊论文的更新延迟不得超过一个月。</w:t>
            </w:r>
          </w:p>
          <w:p w14:paraId="02AE88B0">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9.版本控制推送服务：每次更新的数据均需通过推送方式同步至本院独立数据库，推送周期为每周；推送数据须提供版本控制机制服务，明确标识每次推送的版本号及来源数据信息。</w:t>
            </w:r>
          </w:p>
          <w:p w14:paraId="3A22DC0F">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三、科技处管理端服务</w:t>
            </w:r>
          </w:p>
          <w:p w14:paraId="40DC8D0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1.全局数据看板服务：</w:t>
            </w:r>
          </w:p>
          <w:p w14:paraId="09A61C8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①提供全院认领情况的可视化数据看板工具。</w:t>
            </w:r>
          </w:p>
          <w:p w14:paraId="207D3B81">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②提供认领情况分项统计服务，包括数据总量、已认领数量、待认领数量，需提供可视化看板工具。</w:t>
            </w:r>
          </w:p>
          <w:p w14:paraId="3C61B2DC">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③提供认定分项统计服务，包括已认定数量、待认定数量、退回数量。</w:t>
            </w:r>
          </w:p>
          <w:p w14:paraId="038186C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④提供全院当前认领率的百分比统计服务，需提供可视化看板工具。</w:t>
            </w:r>
          </w:p>
          <w:p w14:paraId="7E79E6A9">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⑥提供学者绩点数据统计服务，分别统计每位学者的数据总量、已认领数量、待认领数量、退回数量，计算其认领率及最终绩点分，需提供可视化看板工具。</w:t>
            </w:r>
          </w:p>
          <w:p w14:paraId="2CDC405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⑦提供本院科研成果数据导出清单服务，可按照年度、部门、第一作者、通讯作者、认领作者、核心收录等维度条件组合筛选后导出，需提供数据导出工具。</w:t>
            </w:r>
          </w:p>
          <w:p w14:paraId="1BD211F7">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2.成果集中认定服务：</w:t>
            </w:r>
          </w:p>
          <w:p w14:paraId="5F9ED6CE">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①提供全院成果清单集中查看服务，支持对单篇成果进行认定、退回、调级等操作，需提供系统服务平台。</w:t>
            </w:r>
          </w:p>
          <w:p w14:paraId="0AD38896">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②提供多维度组合筛选服务，支持按标题、作者、所在部门、认领状态、认定状态、收录情况、期刊名称、出版年份、认领日期进行检索，需提供系统服务平台。</w:t>
            </w:r>
          </w:p>
          <w:p w14:paraId="52DA794A">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③提供成果列表信息展示服务，呈现基础信息、认领信息、等级信息、认领状态、认定状态等，需提供系统服务平台。</w:t>
            </w:r>
          </w:p>
          <w:p w14:paraId="031CF9C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④提供成果详情查阅服务，点击标题即可查看摘要信息、单位信息、学者信息及对应的认领信息，需提供系统服务平台。</w:t>
            </w:r>
          </w:p>
          <w:p w14:paraId="09D484DB">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3.自定义定级管理服务：</w:t>
            </w:r>
          </w:p>
          <w:p w14:paraId="340D5ACF">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①提供自主构建本院独有期刊定级收录体系的服务，需提供期刊定级管理服务平台工具。</w:t>
            </w:r>
          </w:p>
          <w:p w14:paraId="52B253E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②提供等级参数配置服务，支持设置等级名称、所属层级、版本及适用成果的起始年份，需提供期刊定级管理服务平台工具。</w:t>
            </w:r>
          </w:p>
          <w:p w14:paraId="0C66DBC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③提供期刊基本信息批量导入服务，涵盖刊名、ISSN、EISSN等字段，提供等级期刊清单总表导出服务，便于备份和二次利用，需提供刊表清单导入的系统工具。</w:t>
            </w:r>
          </w:p>
          <w:p w14:paraId="200FE2D7">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4.科研管理员权限配置服务：</w:t>
            </w:r>
          </w:p>
          <w:p w14:paraId="06DDA06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①提供系统级的科研管理员权限管理服务，需提供平台管理操作工具。</w:t>
            </w:r>
          </w:p>
          <w:p w14:paraId="79640AAA">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②提供人员检索与绑定服务，可通过姓名、工号新增科研管理员并分配权限，需提供平台管理操作工具。</w:t>
            </w:r>
          </w:p>
          <w:p w14:paraId="72042511">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③提供权限编辑与删除服务，支持对已建立的科研管理员进行二次编辑或移除操作，需提供平台管理操作工具。</w:t>
            </w:r>
          </w:p>
          <w:p w14:paraId="1D6E3550">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5.绩点分配规则匹配服务：</w:t>
            </w:r>
          </w:p>
          <w:p w14:paraId="1119FB1C">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①提供针对已定级成果的绩点分配规则系统设定服务，需提供相关规则设定管理工具。</w:t>
            </w:r>
          </w:p>
          <w:p w14:paraId="357277F3">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②提供基础分与权重配置服务，支持按成果类型设定各等级的基础分与等级权重，需提供相关规则设定管理工具。</w:t>
            </w:r>
          </w:p>
          <w:p w14:paraId="719D05DB">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③提供署名配置服务，按第一作者、通讯作者、参与作者的署名顺序设定权重计算，需提供相关规则设定管理工具。</w:t>
            </w:r>
          </w:p>
          <w:p w14:paraId="5B84CAAB">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④提供多规则按需选用服务，设定多种绩点分配规则以满足不同业务需求，需提供相关规则设定管理工具。</w:t>
            </w:r>
          </w:p>
          <w:p w14:paraId="1F0C85E1">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6.学者反馈处理服务：</w:t>
            </w:r>
          </w:p>
          <w:p w14:paraId="67D38986">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①提供学者反馈问题的集中查看与处理人工服务。</w:t>
            </w:r>
          </w:p>
          <w:p w14:paraId="69488DFF">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②提供反馈问题多维检索服务，支持按反馈人、部门、反馈类型、反馈时间、处理状态等进行查看，需提供问题反馈处理工具。</w:t>
            </w:r>
          </w:p>
          <w:p w14:paraId="69866806">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③提供反馈条件筛选服务，支持按问题描述、反馈类型、处理状态进行精准检索和筛选，需提供问题反馈处理工具。</w:t>
            </w:r>
          </w:p>
          <w:p w14:paraId="1F50E19E">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四、科研管理员端服务</w:t>
            </w:r>
          </w:p>
          <w:p w14:paraId="3475793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1.院级数据看板服务：</w:t>
            </w:r>
          </w:p>
          <w:p w14:paraId="781BD29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①提供本院认领情况的可视化数据看板服务。</w:t>
            </w:r>
          </w:p>
          <w:p w14:paraId="5E87A2D9">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②提供本院认领情况分项统计服务，包括数据总量、学者已认领数量、待认领数量，需提供可视化看板工具。</w:t>
            </w:r>
          </w:p>
          <w:p w14:paraId="693BC25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③提供本院认定情况分项统计服务，包括已认定数量、待认定数量、退回数量，需提供可视化看板工具。</w:t>
            </w:r>
          </w:p>
          <w:p w14:paraId="384F0DC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④提供本院当前认领率的百分比统计服务，需提供可视化看板工具。</w:t>
            </w:r>
          </w:p>
          <w:p w14:paraId="7F62C5C7">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2.院级成果管理服务：</w:t>
            </w:r>
          </w:p>
          <w:p w14:paraId="2FD31EB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①提供本院成果清单集中查看服务，支持对单篇成果进行代认领、退回、核查等操作，需提供系统服务平台。</w:t>
            </w:r>
          </w:p>
          <w:p w14:paraId="5C64F77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②提供多维度组合筛选服务，支持按标题、作者、所在部门、认领状态、认定状态、收录情况、期刊名称、出版年份、认领日期进行检索，需提供系统服务平台。</w:t>
            </w:r>
          </w:p>
          <w:p w14:paraId="38EB56CC">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③提供成果列表信息展示服务，呈现基础信息、认领信息、等级信息、认领状态、认定状态等，需提供系统服务平台。</w:t>
            </w:r>
          </w:p>
          <w:p w14:paraId="737F947E">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④提供成果详情查阅服务，点击标题即可查看摘要信息、单位信息、学者信息及对应的认领信息，需提供系统服务平台。</w:t>
            </w:r>
          </w:p>
          <w:p w14:paraId="393AFE6D">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3.院级反馈处理服务：</w:t>
            </w:r>
          </w:p>
          <w:p w14:paraId="3903A70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①提供本院学者反馈问题的集中查看与处理服务。</w:t>
            </w:r>
          </w:p>
          <w:p w14:paraId="50B5E087">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②提供反馈问题多维检索服务，支持按反馈人、部门、反馈类型、反馈时间、处理状态等进行查看，需提供问题反馈处理工具。</w:t>
            </w:r>
          </w:p>
          <w:p w14:paraId="407F3B8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③提供反馈条件筛选服务，支持按问题描述、反馈类型、处理状态进行精准检索和筛选，需提供问题反馈处理工具。</w:t>
            </w:r>
          </w:p>
          <w:p w14:paraId="7F78308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④提供代为反馈服务，可支持科研管理员代替学者提交问题反馈，需提供问题反馈处理工具。</w:t>
            </w:r>
          </w:p>
          <w:p w14:paraId="1620861F">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五、学者端服务</w:t>
            </w:r>
          </w:p>
          <w:p w14:paraId="6AA8439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1.个人数据看板服务：</w:t>
            </w:r>
          </w:p>
          <w:p w14:paraId="2F9695D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①提供本人认领情况的可视化数据看板服务。</w:t>
            </w:r>
          </w:p>
          <w:p w14:paraId="7B082898">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②提供个人认领情况分项统计服务，包括数据总量、已认领数量、待认领数量，需提供可视化看板工具。</w:t>
            </w:r>
          </w:p>
          <w:p w14:paraId="0B1D5D83">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③提供个人认定情况分项统计服务，包括已认定数量、待认定数量、退回数量。</w:t>
            </w:r>
          </w:p>
          <w:p w14:paraId="4F47276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④提供个人绩点预估与统计服务，支持对已认领成果进行绩点预估，并统计已认定成果的最终绩点。</w:t>
            </w:r>
          </w:p>
          <w:p w14:paraId="0B0EAE9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2.个人成果管理服务：</w:t>
            </w:r>
          </w:p>
          <w:p w14:paraId="11C1E56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①提供成果数据推送服务，支持对推送给本人的成果进行认领和补正操作，需提供操作系统工具。</w:t>
            </w:r>
          </w:p>
          <w:p w14:paraId="7DBA36B3">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②提供非本人成果排除服务，支持对误推成果进行剔除操作，需提供操作系统工具。</w:t>
            </w:r>
          </w:p>
          <w:p w14:paraId="495E7A95">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③提供成果异常反馈服务，支持通过反馈按钮提交问题信息，需提供问题反馈处理工具。</w:t>
            </w:r>
          </w:p>
          <w:p w14:paraId="3043C55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④提供多维度组合筛选服务，支持按标题、作者、机构、认领状态、认定状态、收录情况、期刊名称、出版年份、认领日期进行检索，需提供操作系统工具。</w:t>
            </w:r>
          </w:p>
          <w:p w14:paraId="2426645E">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⑤提供成果列表信息展示服务，呈现基础信息、认领信息、等级信息、认领状态、认定状态及绩点分值等，需提供可视化看板工具。</w:t>
            </w:r>
          </w:p>
          <w:p w14:paraId="4FD80D84">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⑥提供成果详情查阅服务，点击标题即可查看摘要信息、单位信息、学者信息及对应的认领信息，需提供可视化看板工具。</w:t>
            </w:r>
          </w:p>
          <w:p w14:paraId="50A8AD02">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3.个人反馈跟踪服务：</w:t>
            </w:r>
          </w:p>
          <w:p w14:paraId="17100031">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①提供本人反馈问题及处理进度的集中查看的平台。</w:t>
            </w:r>
          </w:p>
          <w:p w14:paraId="47ED5F47">
            <w:pPr>
              <w:jc w:val="both"/>
              <w:rPr>
                <w:rFonts w:hint="eastAsia" w:ascii="宋体" w:hAnsi="宋体" w:eastAsia="宋体" w:cs="宋体"/>
                <w:color w:val="000000"/>
                <w:sz w:val="24"/>
                <w:szCs w:val="24"/>
                <w:vertAlign w:val="baseline"/>
                <w:lang w:val="en-US" w:eastAsia="zh-CN"/>
              </w:rPr>
            </w:pPr>
            <w:r>
              <w:rPr>
                <w:rFonts w:hint="eastAsia" w:ascii="宋体" w:hAnsi="宋体" w:eastAsia="宋体" w:cs="宋体"/>
                <w:color w:val="000000"/>
                <w:sz w:val="24"/>
                <w:szCs w:val="24"/>
                <w:vertAlign w:val="baseline"/>
                <w:lang w:val="en-US" w:eastAsia="zh-CN"/>
              </w:rPr>
              <w:t>②提供反馈记录检索服务工具，支持按反馈类型、反馈时间、处理状态等进行查看。</w:t>
            </w:r>
          </w:p>
          <w:p w14:paraId="391DDF96">
            <w:pPr>
              <w:jc w:val="both"/>
              <w:rPr>
                <w:rFonts w:hint="eastAsia" w:ascii="宋体" w:hAnsi="宋体" w:eastAsia="宋体" w:cs="宋体"/>
                <w:color w:val="000000"/>
                <w:sz w:val="30"/>
                <w:szCs w:val="30"/>
                <w:vertAlign w:val="baseline"/>
                <w:lang w:val="en-US" w:eastAsia="zh-CN"/>
              </w:rPr>
            </w:pPr>
            <w:r>
              <w:rPr>
                <w:rFonts w:hint="eastAsia" w:ascii="宋体" w:hAnsi="宋体" w:eastAsia="宋体" w:cs="宋体"/>
                <w:color w:val="000000"/>
                <w:sz w:val="24"/>
                <w:szCs w:val="24"/>
                <w:vertAlign w:val="baseline"/>
                <w:lang w:val="en-US" w:eastAsia="zh-CN"/>
              </w:rPr>
              <w:t>③提供反馈条件筛选服务工具，支持按问题描述、反馈类型、处理状态进行精准检索和筛选。</w:t>
            </w:r>
          </w:p>
        </w:tc>
      </w:tr>
      <w:tr w14:paraId="2446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803" w:type="dxa"/>
            <w:noWrap w:val="0"/>
            <w:vAlign w:val="top"/>
          </w:tcPr>
          <w:p w14:paraId="21CD0E4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000000"/>
                <w:sz w:val="30"/>
                <w:szCs w:val="30"/>
                <w:vertAlign w:val="baseline"/>
                <w:lang w:val="en-US" w:eastAsia="zh-CN"/>
              </w:rPr>
            </w:pPr>
            <w:r>
              <w:rPr>
                <w:rFonts w:hint="eastAsia" w:ascii="宋体" w:hAnsi="宋体" w:eastAsia="宋体" w:cs="宋体"/>
                <w:color w:val="000000"/>
                <w:sz w:val="30"/>
                <w:szCs w:val="30"/>
                <w:vertAlign w:val="baseline"/>
                <w:lang w:val="en-US" w:eastAsia="zh-CN"/>
              </w:rPr>
              <w:t>使用科室</w:t>
            </w:r>
            <w:r>
              <w:rPr>
                <w:rFonts w:hint="eastAsia" w:ascii="宋体" w:hAnsi="宋体" w:eastAsia="宋体" w:cs="宋体"/>
                <w:color w:val="000000"/>
                <w:sz w:val="30"/>
                <w:szCs w:val="30"/>
                <w:vertAlign w:val="baseline"/>
                <w:lang w:val="en-US" w:eastAsia="zh-CN"/>
              </w:rPr>
              <w:br w:type="textWrapping"/>
            </w:r>
            <w:r>
              <w:rPr>
                <w:rFonts w:hint="eastAsia" w:ascii="宋体" w:hAnsi="宋体" w:eastAsia="宋体" w:cs="宋体"/>
                <w:color w:val="000000"/>
                <w:sz w:val="30"/>
                <w:szCs w:val="30"/>
                <w:vertAlign w:val="baseline"/>
                <w:lang w:val="en-US" w:eastAsia="zh-CN"/>
              </w:rPr>
              <w:t>制定参数并集体确认</w:t>
            </w:r>
          </w:p>
        </w:tc>
        <w:tc>
          <w:tcPr>
            <w:tcW w:w="6250" w:type="dxa"/>
            <w:noWrap w:val="0"/>
            <w:vAlign w:val="top"/>
          </w:tcPr>
          <w:p w14:paraId="70F0982A">
            <w:pPr>
              <w:jc w:val="both"/>
              <w:rPr>
                <w:rFonts w:hint="eastAsia" w:ascii="宋体" w:hAnsi="宋体" w:eastAsia="宋体" w:cs="宋体"/>
                <w:color w:val="000000"/>
                <w:sz w:val="30"/>
                <w:szCs w:val="30"/>
                <w:vertAlign w:val="baseline"/>
                <w:lang w:val="en-US" w:eastAsia="zh-CN"/>
              </w:rPr>
            </w:pPr>
          </w:p>
        </w:tc>
      </w:tr>
      <w:tr w14:paraId="7B91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03" w:type="dxa"/>
            <w:noWrap w:val="0"/>
            <w:vAlign w:val="top"/>
          </w:tcPr>
          <w:p w14:paraId="7DCF6A1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000000"/>
                <w:sz w:val="30"/>
                <w:szCs w:val="30"/>
                <w:vertAlign w:val="baseline"/>
                <w:lang w:val="en-US" w:eastAsia="zh-CN"/>
              </w:rPr>
            </w:pPr>
            <w:r>
              <w:rPr>
                <w:rFonts w:hint="eastAsia" w:ascii="宋体" w:hAnsi="宋体" w:eastAsia="宋体" w:cs="宋体"/>
                <w:color w:val="000000"/>
                <w:sz w:val="30"/>
                <w:szCs w:val="30"/>
                <w:vertAlign w:val="baseline"/>
                <w:lang w:val="en-US" w:eastAsia="zh-CN"/>
              </w:rPr>
              <w:t>信息工程师审核</w:t>
            </w:r>
          </w:p>
        </w:tc>
        <w:tc>
          <w:tcPr>
            <w:tcW w:w="6250" w:type="dxa"/>
            <w:noWrap w:val="0"/>
            <w:vAlign w:val="top"/>
          </w:tcPr>
          <w:p w14:paraId="6DBA7FAB">
            <w:pPr>
              <w:jc w:val="both"/>
              <w:rPr>
                <w:rFonts w:hint="eastAsia" w:ascii="宋体" w:hAnsi="宋体" w:eastAsia="宋体" w:cs="宋体"/>
                <w:color w:val="000000"/>
                <w:sz w:val="30"/>
                <w:szCs w:val="30"/>
                <w:vertAlign w:val="baseline"/>
                <w:lang w:val="en-US" w:eastAsia="zh-CN"/>
              </w:rPr>
            </w:pPr>
          </w:p>
        </w:tc>
      </w:tr>
      <w:tr w14:paraId="4883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803" w:type="dxa"/>
            <w:noWrap w:val="0"/>
            <w:vAlign w:val="top"/>
          </w:tcPr>
          <w:p w14:paraId="0359E0B3">
            <w:pPr>
              <w:jc w:val="both"/>
              <w:rPr>
                <w:rFonts w:hint="eastAsia" w:ascii="宋体" w:hAnsi="宋体" w:eastAsia="宋体" w:cs="宋体"/>
                <w:color w:val="000000"/>
                <w:sz w:val="30"/>
                <w:szCs w:val="30"/>
                <w:vertAlign w:val="baseline"/>
                <w:lang w:val="en-US" w:eastAsia="zh-CN"/>
              </w:rPr>
            </w:pPr>
            <w:r>
              <w:rPr>
                <w:rFonts w:hint="eastAsia" w:ascii="宋体" w:hAnsi="宋体" w:eastAsia="宋体" w:cs="宋体"/>
                <w:color w:val="000000"/>
                <w:sz w:val="30"/>
                <w:szCs w:val="30"/>
                <w:vertAlign w:val="baseline"/>
                <w:lang w:val="en-US" w:eastAsia="zh-CN"/>
              </w:rPr>
              <w:t>信息管理处</w:t>
            </w:r>
          </w:p>
        </w:tc>
        <w:tc>
          <w:tcPr>
            <w:tcW w:w="6250" w:type="dxa"/>
            <w:noWrap w:val="0"/>
            <w:vAlign w:val="top"/>
          </w:tcPr>
          <w:p w14:paraId="0E2F6E8D">
            <w:pPr>
              <w:jc w:val="both"/>
              <w:rPr>
                <w:rFonts w:hint="eastAsia" w:ascii="宋体" w:hAnsi="宋体" w:eastAsia="宋体" w:cs="宋体"/>
                <w:color w:val="000000"/>
                <w:sz w:val="30"/>
                <w:szCs w:val="30"/>
                <w:vertAlign w:val="baseline"/>
                <w:lang w:val="en-US" w:eastAsia="zh-CN"/>
              </w:rPr>
            </w:pPr>
          </w:p>
        </w:tc>
      </w:tr>
    </w:tbl>
    <w:p w14:paraId="57696B32">
      <w:pPr>
        <w:jc w:val="center"/>
        <w:rPr>
          <w:rFonts w:hint="eastAsia" w:ascii="黑体" w:hAnsi="黑体" w:eastAsia="黑体" w:cs="黑体"/>
          <w:color w:val="000000"/>
          <w:sz w:val="44"/>
          <w:szCs w:val="44"/>
          <w:lang w:val="en-US" w:eastAsia="zh-CN"/>
        </w:rPr>
      </w:pPr>
    </w:p>
    <w:p w14:paraId="2052E5A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2C6BF4"/>
    <w:rsid w:val="512C6BF4"/>
    <w:rsid w:val="53FF4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3564</Words>
  <Characters>3676</Characters>
  <Lines>0</Lines>
  <Paragraphs>0</Paragraphs>
  <TotalTime>1</TotalTime>
  <ScaleCrop>false</ScaleCrop>
  <LinksUpToDate>false</LinksUpToDate>
  <CharactersWithSpaces>3676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2026-08-07T03:49:00Z</dcterms:created>
  <dc:creator>末端前沿</dc:creator>
  <cp:lastModifiedBy>潘林</cp:lastModifiedBy>
  <dcterms:modified xsi:type="dcterms:W3CDTF">2026-08-17T02:31:06Z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84076D7301CC41039267F03EC257DEFC_13</vt:lpwstr>
  </property>
  <property fmtid="{D5CDD505-2E9C-101B-9397-08002B2CF9AE}" pid="4" name="KSOTemplateDocerSaveRecord">
    <vt:lpwstr>eyJoZGlkIjoiMjZjZTdkNmI2ZjFlNjI2NjY2NzgwYWMzNjAzOTMxZGIiLCJ1c2VySWQiOiIyMzcxNDY3NjIifQ==</vt:lpwstr>
  </property>
</Properties>
</file>