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05B356">
      <w:pPr>
        <w:jc w:val="center"/>
        <w:rPr>
          <w:rFonts w:hint="default" w:ascii="黑体" w:hAnsi="黑体" w:eastAsia="黑体" w:cs="黑体"/>
          <w:sz w:val="44"/>
          <w:szCs w:val="44"/>
          <w:lang w:val="en-US" w:eastAsia="zh-CN"/>
        </w:rPr>
      </w:pPr>
      <w:r>
        <w:rPr>
          <w:rFonts w:hint="eastAsia" w:ascii="黑体" w:hAnsi="黑体" w:eastAsia="黑体" w:cs="黑体"/>
          <w:sz w:val="44"/>
          <w:szCs w:val="44"/>
          <w:lang w:val="en-US" w:eastAsia="zh-CN"/>
        </w:rPr>
        <w:t>项目需求</w:t>
      </w:r>
    </w:p>
    <w:tbl>
      <w:tblPr>
        <w:tblStyle w:val="8"/>
        <w:tblpPr w:leftFromText="180" w:rightFromText="180" w:vertAnchor="text" w:horzAnchor="page" w:tblpX="1058" w:tblpY="520"/>
        <w:tblOverlap w:val="never"/>
        <w:tblW w:w="10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3"/>
        <w:gridCol w:w="8236"/>
      </w:tblGrid>
      <w:tr w14:paraId="36DF3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2" w:hRule="atLeast"/>
        </w:trPr>
        <w:tc>
          <w:tcPr>
            <w:tcW w:w="1803" w:type="dxa"/>
            <w:vAlign w:val="center"/>
          </w:tcPr>
          <w:p w14:paraId="3DF15275">
            <w:pPr>
              <w:jc w:val="center"/>
              <w:rPr>
                <w:rFonts w:hint="eastAsia"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项目名称</w:t>
            </w:r>
          </w:p>
        </w:tc>
        <w:tc>
          <w:tcPr>
            <w:tcW w:w="8236" w:type="dxa"/>
            <w:vAlign w:val="center"/>
          </w:tcPr>
          <w:p w14:paraId="231C3C39">
            <w:pPr>
              <w:jc w:val="center"/>
              <w:rPr>
                <w:rFonts w:hint="default"/>
                <w:sz w:val="30"/>
                <w:szCs w:val="30"/>
                <w:vertAlign w:val="baseline"/>
                <w:lang w:val="en-US" w:eastAsia="zh-CN"/>
              </w:rPr>
            </w:pPr>
            <w:r>
              <w:rPr>
                <w:rFonts w:hint="eastAsia"/>
                <w:sz w:val="30"/>
                <w:szCs w:val="30"/>
                <w:vertAlign w:val="baseline"/>
                <w:lang w:val="en-US" w:eastAsia="zh-CN"/>
              </w:rPr>
              <w:t>福建省人民医院数据资产评测服务项目</w:t>
            </w:r>
          </w:p>
        </w:tc>
      </w:tr>
      <w:tr w14:paraId="170FA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3" w:hRule="atLeast"/>
        </w:trPr>
        <w:tc>
          <w:tcPr>
            <w:tcW w:w="10039" w:type="dxa"/>
            <w:gridSpan w:val="2"/>
          </w:tcPr>
          <w:p w14:paraId="4ED01C93">
            <w:pPr>
              <w:widowControl/>
              <w:spacing w:line="560" w:lineRule="exact"/>
              <w:jc w:val="both"/>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一、项目背景</w:t>
            </w:r>
          </w:p>
          <w:p w14:paraId="0747B347">
            <w:pPr>
              <w:widowControl/>
              <w:spacing w:line="560" w:lineRule="exact"/>
              <w:ind w:firstLine="480" w:firstLineChars="200"/>
              <w:jc w:val="both"/>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为深入贯彻国家及福建省关于数据要素市场化配置、医疗卫生机构数据资产管理相关政策要求，落实医院高质量发展与智慧医院建设工作部署，进一步规范临床数据资源管理，挖掘数据要素价值，推动我院数据资产标准化、规范化、体系化建设，现对院内 HIS、EMR、LIS、PACS等业务系统为主要数据源，结构化程度高，符合医院数据治理与医疗数据互联互通相关标准的2个临床专病库/数据集在福建省内合规的数据登记平台进行登记工作。</w:t>
            </w:r>
          </w:p>
          <w:p w14:paraId="2AB1FA4D">
            <w:pPr>
              <w:widowControl/>
              <w:spacing w:line="560" w:lineRule="exact"/>
              <w:jc w:val="both"/>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二、项目需求</w:t>
            </w:r>
          </w:p>
          <w:p w14:paraId="22B85766">
            <w:pPr>
              <w:widowControl/>
              <w:spacing w:line="560" w:lineRule="exact"/>
              <w:ind w:firstLine="480" w:firstLineChars="200"/>
              <w:jc w:val="both"/>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现计划选定以下两个我院最具有专病优势的数据集进行数据资产登记工作：</w:t>
            </w:r>
          </w:p>
          <w:p w14:paraId="0FE414CC">
            <w:pPr>
              <w:widowControl/>
              <w:spacing w:line="560" w:lineRule="exact"/>
              <w:ind w:firstLine="480" w:firstLineChars="200"/>
              <w:jc w:val="both"/>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（一）蛇伤专病数据集：应用于蛇伤救治方案优化、诊疗规范化研究及真实世界临床数据分析。基于该数据库发表学术论文，促进了区域蛇伤救治经验的总结与推广。</w:t>
            </w:r>
          </w:p>
          <w:p w14:paraId="166E3062">
            <w:pPr>
              <w:widowControl/>
              <w:spacing w:line="560" w:lineRule="exact"/>
              <w:ind w:firstLine="480" w:firstLineChars="200"/>
              <w:jc w:val="both"/>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（二）肛瘘专病数据集：应用于肛瘘诊疗技术评价、围手术期管理及优势病种诊疗方案优化研究。为肛肠科临床科研提供了高质量数据基础，助力课题产出及诊疗规范制定。</w:t>
            </w:r>
          </w:p>
          <w:p w14:paraId="1FE83234">
            <w:pPr>
              <w:widowControl/>
              <w:spacing w:line="560" w:lineRule="exact"/>
              <w:jc w:val="both"/>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三、采购内容</w:t>
            </w:r>
          </w:p>
          <w:p w14:paraId="0A93A32C">
            <w:pPr>
              <w:widowControl/>
              <w:spacing w:line="560" w:lineRule="exact"/>
              <w:ind w:firstLine="480" w:firstLineChars="200"/>
              <w:jc w:val="both"/>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（一）数据产权登记服务</w:t>
            </w:r>
          </w:p>
          <w:p w14:paraId="650F5454">
            <w:pPr>
              <w:widowControl/>
              <w:spacing w:line="560" w:lineRule="exact"/>
              <w:ind w:firstLine="480" w:firstLineChars="200"/>
              <w:jc w:val="both"/>
              <w:rPr>
                <w:rFonts w:hint="eastAsia" w:asciiTheme="minorEastAsia" w:hAnsiTheme="minorEastAsia" w:eastAsiaTheme="minorEastAsia" w:cstheme="minorEastAsia"/>
                <w:kern w:val="0"/>
                <w:sz w:val="24"/>
                <w:szCs w:val="24"/>
                <w:lang w:val="en-US" w:eastAsia="zh-Hans" w:bidi="ar"/>
              </w:rPr>
            </w:pPr>
            <w:r>
              <w:rPr>
                <w:rFonts w:hint="eastAsia" w:asciiTheme="minorEastAsia" w:hAnsiTheme="minorEastAsia" w:eastAsiaTheme="minorEastAsia" w:cstheme="minorEastAsia"/>
                <w:kern w:val="0"/>
                <w:sz w:val="24"/>
                <w:szCs w:val="24"/>
                <w:lang w:val="en-US" w:eastAsia="zh-CN" w:bidi="ar"/>
              </w:rPr>
              <w:t>1.数据合规审核服务：</w:t>
            </w:r>
            <w:r>
              <w:rPr>
                <w:rFonts w:hint="eastAsia" w:asciiTheme="minorEastAsia" w:hAnsiTheme="minorEastAsia" w:eastAsiaTheme="minorEastAsia" w:cstheme="minorEastAsia"/>
                <w:kern w:val="0"/>
                <w:sz w:val="24"/>
                <w:szCs w:val="24"/>
                <w:lang w:val="en-US" w:eastAsia="zh-Hans" w:bidi="ar"/>
              </w:rPr>
              <w:t>完成数据资源的权属确认、合规审查，发现合规风险，并提出整改方案</w:t>
            </w:r>
            <w:r>
              <w:rPr>
                <w:rFonts w:hint="eastAsia" w:asciiTheme="minorEastAsia" w:hAnsiTheme="minorEastAsia" w:eastAsiaTheme="minorEastAsia" w:cstheme="minorEastAsia"/>
                <w:kern w:val="0"/>
                <w:sz w:val="24"/>
                <w:szCs w:val="24"/>
                <w:lang w:val="en-US" w:eastAsia="zh-CN" w:bidi="ar"/>
              </w:rPr>
              <w:t>；对企业数据资源全生命周期的安全管理能力的合规审查，包括是否有建立数据安全管理体系，单位人员配置等，具体涉及审查是否依法履行包括但不限于作为网络运营者、数据处理者、个人信息处理者等相关义务等。</w:t>
            </w:r>
            <w:r>
              <w:rPr>
                <w:rFonts w:hint="eastAsia" w:asciiTheme="minorEastAsia" w:hAnsiTheme="minorEastAsia" w:eastAsiaTheme="minorEastAsia" w:cstheme="minorEastAsia"/>
                <w:kern w:val="0"/>
                <w:sz w:val="24"/>
                <w:szCs w:val="24"/>
                <w:lang w:val="en-US" w:eastAsia="zh-Hans" w:bidi="ar"/>
              </w:rPr>
              <w:t>从而帮助企业完善数据合规性，规避法律风险。</w:t>
            </w:r>
          </w:p>
          <w:p w14:paraId="6C23139E">
            <w:pPr>
              <w:widowControl/>
              <w:spacing w:line="560" w:lineRule="exact"/>
              <w:ind w:firstLine="480" w:firstLineChars="200"/>
              <w:jc w:val="both"/>
              <w:rPr>
                <w:rFonts w:hint="eastAsia" w:asciiTheme="minorEastAsia" w:hAnsiTheme="minorEastAsia" w:eastAsiaTheme="minorEastAsia" w:cstheme="minorEastAsia"/>
                <w:kern w:val="0"/>
                <w:sz w:val="24"/>
                <w:szCs w:val="24"/>
                <w:lang w:val="en-US" w:eastAsia="zh-Hans" w:bidi="ar"/>
              </w:rPr>
            </w:pPr>
            <w:r>
              <w:rPr>
                <w:rFonts w:hint="eastAsia" w:asciiTheme="minorEastAsia" w:hAnsiTheme="minorEastAsia" w:eastAsiaTheme="minorEastAsia" w:cstheme="minorEastAsia"/>
                <w:kern w:val="0"/>
                <w:sz w:val="24"/>
                <w:szCs w:val="24"/>
                <w:lang w:val="en-US" w:eastAsia="zh-Hans" w:bidi="ar"/>
              </w:rPr>
              <w:t>2.公共数据登记服务：协助企业对接福建省公共数据登记服务平台，完成企业认证并取得公共数据产品和服务登记确认单。</w:t>
            </w:r>
          </w:p>
          <w:p w14:paraId="6B7F5D32">
            <w:pPr>
              <w:widowControl/>
              <w:spacing w:line="560" w:lineRule="exact"/>
              <w:ind w:firstLine="480" w:firstLineChars="200"/>
              <w:jc w:val="both"/>
              <w:rPr>
                <w:rFonts w:hint="eastAsia" w:asciiTheme="minorEastAsia" w:hAnsiTheme="minorEastAsia" w:eastAsiaTheme="minorEastAsia" w:cstheme="minorEastAsia"/>
                <w:kern w:val="0"/>
                <w:sz w:val="24"/>
                <w:szCs w:val="24"/>
                <w:lang w:val="en-US" w:eastAsia="zh-Hans" w:bidi="ar"/>
              </w:rPr>
            </w:pPr>
            <w:r>
              <w:rPr>
                <w:rFonts w:hint="eastAsia" w:asciiTheme="minorEastAsia" w:hAnsiTheme="minorEastAsia" w:eastAsiaTheme="minorEastAsia" w:cstheme="minorEastAsia"/>
                <w:kern w:val="0"/>
                <w:sz w:val="24"/>
                <w:szCs w:val="24"/>
                <w:lang w:val="en-US" w:eastAsia="zh-Hans" w:bidi="ar"/>
              </w:rPr>
              <w:t>3.数据产权登记及取证服务：协助企业对接大数据交易所，完成相关企业数据登记。并取得数据产权登记证书。</w:t>
            </w:r>
          </w:p>
          <w:p w14:paraId="668337F4">
            <w:pPr>
              <w:widowControl/>
              <w:spacing w:line="560" w:lineRule="exact"/>
              <w:ind w:firstLine="480" w:firstLineChars="200"/>
              <w:jc w:val="both"/>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（二）数据盘点的服务</w:t>
            </w:r>
          </w:p>
          <w:p w14:paraId="592950B7">
            <w:pPr>
              <w:widowControl/>
              <w:spacing w:line="560" w:lineRule="exact"/>
              <w:ind w:firstLine="480" w:firstLineChars="200"/>
              <w:jc w:val="both"/>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1.数据盘点与数据识别服务：对血站管理信息系统的献供血数据进行盘点梳理，识别出具有高价值数据资源。</w:t>
            </w:r>
          </w:p>
          <w:p w14:paraId="4407E4BA">
            <w:pPr>
              <w:widowControl/>
              <w:spacing w:line="560" w:lineRule="exact"/>
              <w:ind w:firstLine="480" w:firstLineChars="200"/>
              <w:jc w:val="both"/>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2.数据真实性核验服务：数据的确认与存在性核验，包括确认数据真实存在、确认数据受被盘点主体控制。</w:t>
            </w:r>
          </w:p>
          <w:p w14:paraId="235794CA">
            <w:pPr>
              <w:widowControl/>
              <w:spacing w:line="560" w:lineRule="exact"/>
              <w:ind w:firstLine="480" w:firstLineChars="200"/>
              <w:jc w:val="both"/>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3.数据质量评价服务：</w:t>
            </w:r>
            <w:r>
              <w:rPr>
                <w:rFonts w:hint="eastAsia" w:asciiTheme="minorEastAsia" w:hAnsiTheme="minorEastAsia" w:eastAsiaTheme="minorEastAsia" w:cstheme="minorEastAsia"/>
                <w:kern w:val="0"/>
                <w:sz w:val="24"/>
                <w:szCs w:val="24"/>
                <w:lang w:val="en-US" w:eastAsia="zh-Hans" w:bidi="ar"/>
              </w:rPr>
              <w:t>从</w:t>
            </w:r>
            <w:r>
              <w:rPr>
                <w:rFonts w:hint="eastAsia" w:asciiTheme="minorEastAsia" w:hAnsiTheme="minorEastAsia" w:eastAsiaTheme="minorEastAsia" w:cstheme="minorEastAsia"/>
                <w:kern w:val="0"/>
                <w:sz w:val="24"/>
                <w:szCs w:val="24"/>
                <w:lang w:val="en-US" w:eastAsia="zh-CN" w:bidi="ar"/>
              </w:rPr>
              <w:t>准确性、一致性、完整性、规范性、时效性和可访问性</w:t>
            </w:r>
            <w:r>
              <w:rPr>
                <w:rFonts w:hint="eastAsia" w:asciiTheme="minorEastAsia" w:hAnsiTheme="minorEastAsia" w:eastAsiaTheme="minorEastAsia" w:cstheme="minorEastAsia"/>
                <w:kern w:val="0"/>
                <w:sz w:val="24"/>
                <w:szCs w:val="24"/>
                <w:lang w:val="en-US" w:eastAsia="zh-Hans" w:bidi="ar"/>
              </w:rPr>
              <w:t>等方面评价数据质量，完成数据质量评价</w:t>
            </w:r>
            <w:r>
              <w:rPr>
                <w:rFonts w:hint="eastAsia" w:asciiTheme="minorEastAsia" w:hAnsiTheme="minorEastAsia" w:eastAsiaTheme="minorEastAsia" w:cstheme="minorEastAsia"/>
                <w:kern w:val="0"/>
                <w:sz w:val="24"/>
                <w:szCs w:val="24"/>
                <w:lang w:val="en-US" w:eastAsia="zh-CN" w:bidi="ar"/>
              </w:rPr>
              <w:t>。</w:t>
            </w:r>
          </w:p>
          <w:p w14:paraId="649A7D8B">
            <w:pPr>
              <w:widowControl/>
              <w:spacing w:line="560" w:lineRule="exact"/>
              <w:ind w:firstLine="480" w:firstLineChars="200"/>
              <w:jc w:val="both"/>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（三）项目实施要求</w:t>
            </w:r>
          </w:p>
          <w:p w14:paraId="6F8A3C02">
            <w:pPr>
              <w:widowControl/>
              <w:spacing w:line="560" w:lineRule="exact"/>
              <w:ind w:firstLine="480" w:firstLineChars="200"/>
              <w:jc w:val="both"/>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1.项目团队：供应商需具备完整的项目建设团队（项目团队成员不少于5名），有专业的总项目负责人，组建完整的项目成员小组，分别负责方案调研、方案撰写、方案修改、方案质量把控。</w:t>
            </w:r>
          </w:p>
          <w:p w14:paraId="012CB45F">
            <w:pPr>
              <w:widowControl/>
              <w:spacing w:line="560" w:lineRule="exact"/>
              <w:ind w:firstLine="480" w:firstLineChars="200"/>
              <w:jc w:val="both"/>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2.进度管理：制定详细的项目进度计划，明确各阶段的任务、时间节点及责任人，确保项目按时按质完成。</w:t>
            </w:r>
          </w:p>
          <w:p w14:paraId="384102A0">
            <w:pPr>
              <w:widowControl/>
              <w:spacing w:line="560" w:lineRule="exact"/>
              <w:ind w:firstLine="480" w:firstLineChars="200"/>
              <w:jc w:val="both"/>
              <w:rPr>
                <w:rFonts w:hint="default" w:ascii="仿宋_GB2312" w:hAnsi="仿宋_GB2312" w:eastAsia="仿宋_GB2312" w:cs="仿宋_GB2312"/>
                <w:kern w:val="0"/>
                <w:sz w:val="32"/>
                <w:szCs w:val="32"/>
                <w:lang w:val="en-US" w:eastAsia="zh-CN" w:bidi="ar"/>
              </w:rPr>
            </w:pPr>
            <w:r>
              <w:rPr>
                <w:rFonts w:hint="eastAsia" w:asciiTheme="minorEastAsia" w:hAnsiTheme="minorEastAsia" w:eastAsiaTheme="minorEastAsia" w:cstheme="minorEastAsia"/>
                <w:kern w:val="0"/>
                <w:sz w:val="24"/>
                <w:szCs w:val="24"/>
                <w:lang w:val="en-US" w:eastAsia="zh-CN" w:bidi="ar"/>
              </w:rPr>
              <w:t>3.质量控制：建立严格的质量控制体系，对研究成果进行多轮评审和修改，确保研究成果的科学性、准确性和实用性。</w:t>
            </w:r>
            <w:r>
              <w:rPr>
                <w:rFonts w:hint="eastAsia" w:ascii="仿宋_GB2312" w:hAnsi="仿宋_GB2312" w:eastAsia="仿宋_GB2312" w:cs="仿宋_GB2312"/>
                <w:kern w:val="0"/>
                <w:sz w:val="24"/>
                <w:szCs w:val="24"/>
                <w:lang w:val="en-US" w:eastAsia="zh-CN" w:bidi="ar"/>
              </w:rPr>
              <w:t xml:space="preserve"> </w:t>
            </w:r>
            <w:bookmarkStart w:id="0" w:name="_GoBack"/>
            <w:bookmarkEnd w:id="0"/>
          </w:p>
        </w:tc>
      </w:tr>
      <w:tr w14:paraId="5DFAD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7" w:hRule="atLeast"/>
        </w:trPr>
        <w:tc>
          <w:tcPr>
            <w:tcW w:w="1803" w:type="dxa"/>
            <w:vAlign w:val="center"/>
          </w:tcPr>
          <w:p w14:paraId="42E9BA9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使用科室</w:t>
            </w:r>
            <w:r>
              <w:rPr>
                <w:rFonts w:hint="eastAsia" w:ascii="宋体" w:hAnsi="宋体" w:eastAsia="宋体" w:cs="宋体"/>
                <w:sz w:val="30"/>
                <w:szCs w:val="30"/>
                <w:vertAlign w:val="baseline"/>
                <w:lang w:val="en-US" w:eastAsia="zh-CN"/>
              </w:rPr>
              <w:br w:type="textWrapping"/>
            </w:r>
            <w:r>
              <w:rPr>
                <w:rFonts w:hint="eastAsia" w:ascii="宋体" w:hAnsi="宋体" w:eastAsia="宋体" w:cs="宋体"/>
                <w:sz w:val="30"/>
                <w:szCs w:val="30"/>
                <w:vertAlign w:val="baseline"/>
                <w:lang w:val="en-US" w:eastAsia="zh-CN"/>
              </w:rPr>
              <w:t>制定需求</w:t>
            </w:r>
          </w:p>
        </w:tc>
        <w:tc>
          <w:tcPr>
            <w:tcW w:w="8236" w:type="dxa"/>
            <w:vAlign w:val="center"/>
          </w:tcPr>
          <w:p w14:paraId="62623859">
            <w:pPr>
              <w:jc w:val="center"/>
              <w:rPr>
                <w:rFonts w:hint="eastAsia" w:asciiTheme="minorEastAsia" w:hAnsiTheme="minorEastAsia" w:eastAsiaTheme="minorEastAsia" w:cstheme="minorEastAsia"/>
                <w:sz w:val="30"/>
                <w:szCs w:val="30"/>
                <w:vertAlign w:val="baseline"/>
                <w:lang w:val="en-US" w:eastAsia="zh-CN"/>
              </w:rPr>
            </w:pPr>
          </w:p>
        </w:tc>
      </w:tr>
      <w:tr w14:paraId="2DE82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2" w:hRule="atLeast"/>
        </w:trPr>
        <w:tc>
          <w:tcPr>
            <w:tcW w:w="1803" w:type="dxa"/>
            <w:vAlign w:val="center"/>
          </w:tcPr>
          <w:p w14:paraId="494CFDE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信息工程师审核</w:t>
            </w:r>
          </w:p>
        </w:tc>
        <w:tc>
          <w:tcPr>
            <w:tcW w:w="8236" w:type="dxa"/>
            <w:vAlign w:val="center"/>
          </w:tcPr>
          <w:p w14:paraId="57F8AA9B">
            <w:pPr>
              <w:jc w:val="center"/>
              <w:rPr>
                <w:rFonts w:hint="eastAsia" w:asciiTheme="minorEastAsia" w:hAnsiTheme="minorEastAsia" w:eastAsiaTheme="minorEastAsia" w:cstheme="minorEastAsia"/>
                <w:sz w:val="30"/>
                <w:szCs w:val="30"/>
                <w:vertAlign w:val="baseline"/>
                <w:lang w:val="en-US" w:eastAsia="zh-CN"/>
              </w:rPr>
            </w:pPr>
          </w:p>
        </w:tc>
      </w:tr>
    </w:tbl>
    <w:p w14:paraId="6753D06A">
      <w:pPr>
        <w:jc w:val="both"/>
        <w:rPr>
          <w:rFonts w:hint="default"/>
          <w:sz w:val="52"/>
          <w:szCs w:val="7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G Times">
    <w:altName w:val="Times New Roman"/>
    <w:panose1 w:val="020B0604020202020204"/>
    <w:charset w:val="00"/>
    <w:family w:val="roman"/>
    <w:pitch w:val="default"/>
    <w:sig w:usb0="00000000" w:usb1="00000000" w:usb2="00000000" w:usb3="00000000" w:csb0="00000093"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020941"/>
    <w:multiLevelType w:val="multilevel"/>
    <w:tmpl w:val="28020941"/>
    <w:lvl w:ilvl="0" w:tentative="0">
      <w:start w:val="1"/>
      <w:numFmt w:val="chineseCountingThousand"/>
      <w:suff w:val="nothing"/>
      <w:lvlText w:val="第%1部分"/>
      <w:lvlJc w:val="left"/>
      <w:pPr>
        <w:ind w:left="1800" w:firstLine="0"/>
      </w:pPr>
      <w:rPr>
        <w:rFonts w:hint="eastAsia" w:ascii="黑体" w:eastAsia="黑体"/>
        <w:sz w:val="32"/>
      </w:rPr>
    </w:lvl>
    <w:lvl w:ilvl="1" w:tentative="0">
      <w:start w:val="1"/>
      <w:numFmt w:val="upperLetter"/>
      <w:pStyle w:val="2"/>
      <w:suff w:val="nothing"/>
      <w:lvlText w:val="%2"/>
      <w:lvlJc w:val="left"/>
      <w:pPr>
        <w:ind w:left="1800" w:firstLine="0"/>
      </w:pPr>
      <w:rPr>
        <w:rFonts w:hint="default" w:ascii="CG Times" w:hAnsi="CG Times"/>
        <w:b/>
        <w:i w:val="0"/>
        <w:sz w:val="28"/>
      </w:rPr>
    </w:lvl>
    <w:lvl w:ilvl="2" w:tentative="0">
      <w:start w:val="1"/>
      <w:numFmt w:val="decimal"/>
      <w:lvlRestart w:val="0"/>
      <w:suff w:val="nothing"/>
      <w:lvlText w:val="%3"/>
      <w:lvlJc w:val="left"/>
      <w:pPr>
        <w:ind w:left="1800" w:firstLine="0"/>
      </w:pPr>
      <w:rPr>
        <w:rFonts w:hint="eastAsia" w:ascii="宋体" w:eastAsia="宋体"/>
        <w:b/>
        <w:i w:val="0"/>
        <w:sz w:val="28"/>
      </w:rPr>
    </w:lvl>
    <w:lvl w:ilvl="3" w:tentative="0">
      <w:start w:val="1"/>
      <w:numFmt w:val="none"/>
      <w:suff w:val="nothing"/>
      <w:lvlText w:val=""/>
      <w:lvlJc w:val="left"/>
      <w:pPr>
        <w:ind w:left="1800" w:firstLine="0"/>
      </w:pPr>
      <w:rPr>
        <w:rFonts w:hint="eastAsia"/>
      </w:rPr>
    </w:lvl>
    <w:lvl w:ilvl="4" w:tentative="0">
      <w:start w:val="1"/>
      <w:numFmt w:val="none"/>
      <w:suff w:val="nothing"/>
      <w:lvlText w:val=""/>
      <w:lvlJc w:val="left"/>
      <w:pPr>
        <w:ind w:left="1800" w:firstLine="0"/>
      </w:pPr>
      <w:rPr>
        <w:rFonts w:hint="eastAsia"/>
      </w:rPr>
    </w:lvl>
    <w:lvl w:ilvl="5" w:tentative="0">
      <w:start w:val="1"/>
      <w:numFmt w:val="none"/>
      <w:suff w:val="nothing"/>
      <w:lvlText w:val=""/>
      <w:lvlJc w:val="left"/>
      <w:pPr>
        <w:ind w:left="1800" w:firstLine="0"/>
      </w:pPr>
      <w:rPr>
        <w:rFonts w:hint="eastAsia"/>
      </w:rPr>
    </w:lvl>
    <w:lvl w:ilvl="6" w:tentative="0">
      <w:start w:val="1"/>
      <w:numFmt w:val="none"/>
      <w:suff w:val="nothing"/>
      <w:lvlText w:val=""/>
      <w:lvlJc w:val="left"/>
      <w:pPr>
        <w:ind w:left="1800" w:firstLine="0"/>
      </w:pPr>
      <w:rPr>
        <w:rFonts w:hint="eastAsia"/>
      </w:rPr>
    </w:lvl>
    <w:lvl w:ilvl="7" w:tentative="0">
      <w:start w:val="1"/>
      <w:numFmt w:val="none"/>
      <w:suff w:val="nothing"/>
      <w:lvlText w:val=""/>
      <w:lvlJc w:val="left"/>
      <w:pPr>
        <w:ind w:left="1800" w:firstLine="0"/>
      </w:pPr>
      <w:rPr>
        <w:rFonts w:hint="eastAsia"/>
      </w:rPr>
    </w:lvl>
    <w:lvl w:ilvl="8" w:tentative="0">
      <w:start w:val="1"/>
      <w:numFmt w:val="none"/>
      <w:suff w:val="nothing"/>
      <w:lvlText w:val=""/>
      <w:lvlJc w:val="left"/>
      <w:pPr>
        <w:ind w:left="180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FiZmU2ODZjNWJhMjY3N2QzYmRjOThhNmU0MmQ4ZDkifQ=="/>
  </w:docVars>
  <w:rsids>
    <w:rsidRoot w:val="56B06D87"/>
    <w:rsid w:val="0A78582D"/>
    <w:rsid w:val="0AA712A6"/>
    <w:rsid w:val="0DA24BFC"/>
    <w:rsid w:val="119E3F82"/>
    <w:rsid w:val="14EC4689"/>
    <w:rsid w:val="154D20A5"/>
    <w:rsid w:val="180D6CF4"/>
    <w:rsid w:val="1B217214"/>
    <w:rsid w:val="1D277F5E"/>
    <w:rsid w:val="1D855412"/>
    <w:rsid w:val="1F1974D9"/>
    <w:rsid w:val="21512EBC"/>
    <w:rsid w:val="25E57105"/>
    <w:rsid w:val="29F81D96"/>
    <w:rsid w:val="320E1D12"/>
    <w:rsid w:val="336F7659"/>
    <w:rsid w:val="38722254"/>
    <w:rsid w:val="3C223052"/>
    <w:rsid w:val="41D92DFF"/>
    <w:rsid w:val="4603688D"/>
    <w:rsid w:val="4A02286C"/>
    <w:rsid w:val="4B9E753F"/>
    <w:rsid w:val="4D663D4A"/>
    <w:rsid w:val="528F19C6"/>
    <w:rsid w:val="533B7540"/>
    <w:rsid w:val="568E20BE"/>
    <w:rsid w:val="56B06D87"/>
    <w:rsid w:val="59803D33"/>
    <w:rsid w:val="59CA5FB9"/>
    <w:rsid w:val="5EC608D8"/>
    <w:rsid w:val="628341B5"/>
    <w:rsid w:val="63EE6EEC"/>
    <w:rsid w:val="64EE365A"/>
    <w:rsid w:val="659D3FA3"/>
    <w:rsid w:val="68A869C0"/>
    <w:rsid w:val="6940532F"/>
    <w:rsid w:val="69D87C9F"/>
    <w:rsid w:val="6A0A597F"/>
    <w:rsid w:val="6ED91C51"/>
    <w:rsid w:val="6F6C3575"/>
    <w:rsid w:val="6FFABE06"/>
    <w:rsid w:val="71CD7F48"/>
    <w:rsid w:val="75EF736E"/>
    <w:rsid w:val="7854145B"/>
    <w:rsid w:val="78CF064A"/>
    <w:rsid w:val="7BAC4A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numPr>
        <w:ilvl w:val="1"/>
        <w:numId w:val="1"/>
      </w:numPr>
      <w:spacing w:before="260" w:after="260" w:line="415" w:lineRule="auto"/>
      <w:jc w:val="center"/>
      <w:outlineLvl w:val="1"/>
    </w:pPr>
    <w:rPr>
      <w:rFonts w:ascii="CG Times" w:hAnsi="CG Times"/>
      <w:b/>
      <w:sz w:val="30"/>
      <w:szCs w:val="20"/>
      <w:lang w:val="zh-CN"/>
    </w:rPr>
  </w:style>
  <w:style w:type="character" w:default="1" w:styleId="9">
    <w:name w:val="Default Paragraph Font"/>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toa heading"/>
    <w:basedOn w:val="1"/>
    <w:next w:val="1"/>
    <w:qFormat/>
    <w:uiPriority w:val="99"/>
    <w:pPr>
      <w:spacing w:before="120"/>
    </w:pPr>
    <w:rPr>
      <w:rFonts w:ascii="Arial" w:hAnsi="Arial"/>
      <w:sz w:val="24"/>
    </w:rPr>
  </w:style>
  <w:style w:type="paragraph" w:styleId="4">
    <w:name w:val="Body Text"/>
    <w:basedOn w:val="1"/>
    <w:next w:val="5"/>
    <w:qFormat/>
    <w:uiPriority w:val="99"/>
    <w:pPr>
      <w:ind w:firstLine="420"/>
    </w:pPr>
    <w:rPr>
      <w:rFonts w:ascii="Calibri" w:hAnsi="Calibri"/>
      <w:lang w:val="zh-CN"/>
    </w:rPr>
  </w:style>
  <w:style w:type="paragraph" w:styleId="5">
    <w:name w:val="Subtitle"/>
    <w:basedOn w:val="1"/>
    <w:qFormat/>
    <w:uiPriority w:val="0"/>
    <w:pPr>
      <w:spacing w:before="240" w:after="60" w:line="312" w:lineRule="auto"/>
      <w:jc w:val="center"/>
      <w:outlineLvl w:val="1"/>
    </w:pPr>
    <w:rPr>
      <w:rFonts w:ascii="Arial" w:hAnsi="Arial" w:cs="Arial"/>
      <w:b/>
      <w:bCs/>
      <w:kern w:val="28"/>
      <w:sz w:val="32"/>
      <w:szCs w:val="32"/>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99"/>
    <w:pPr>
      <w:ind w:firstLine="420" w:firstLineChars="200"/>
    </w:pPr>
  </w:style>
  <w:style w:type="paragraph" w:customStyle="1" w:styleId="11">
    <w:name w:val="null3"/>
    <w:qFormat/>
    <w:uiPriority w:val="0"/>
    <w:rPr>
      <w:rFonts w:hint="eastAsia" w:ascii="Calibri" w:hAnsi="Calibri" w:eastAsia="宋体" w:cs="Times New Roman"/>
      <w:lang w:val="en-US" w:eastAsia="zh-Han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1055</Words>
  <Characters>1073</Characters>
  <Lines>0</Lines>
  <Paragraphs>0</Paragraphs>
  <TotalTime>21</TotalTime>
  <ScaleCrop>false</ScaleCrop>
  <LinksUpToDate>false</LinksUpToDate>
  <CharactersWithSpaces>1075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2024-08-28T10:42:00Z</dcterms:created>
  <dc:creator>郑丹</dc:creator>
  <cp:lastModifiedBy>翁长风</cp:lastModifiedBy>
  <cp:lastPrinted>2026-01-16T02:35:00Z</cp:lastPrinted>
  <dcterms:modified xsi:type="dcterms:W3CDTF">2026-07-10T03:41:29Z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5F2BB6EA320E4F1DA68AC6097C513B6E_13</vt:lpwstr>
  </property>
  <property fmtid="{D5CDD505-2E9C-101B-9397-08002B2CF9AE}" pid="4" name="KSOTemplateDocerSaveRecord">
    <vt:lpwstr>eyJoZGlkIjoiNDBjMjgzN2ZmOGI0YzUxNWFjNDdiYWRlMDlkOTk1OGEiLCJ1c2VySWQiOiIxNjM3MTIyMTQxIn0=</vt:lpwstr>
  </property>
</Properties>
</file>