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AF28">
      <w:pPr>
        <w:rPr>
          <w:rFonts w:hint="eastAsia" w:ascii="黑体" w:hAnsi="黑体" w:eastAsia="黑体" w:cs="黑体"/>
          <w:color w:val="000000"/>
          <w:kern w:val="0"/>
          <w:szCs w:val="32"/>
        </w:rPr>
      </w:pPr>
      <w:r>
        <w:rPr>
          <w:rFonts w:hint="eastAsia" w:ascii="黑体" w:hAnsi="黑体" w:eastAsia="黑体" w:cs="黑体"/>
          <w:color w:val="000000"/>
          <w:kern w:val="0"/>
          <w:szCs w:val="32"/>
        </w:rPr>
        <w:t>附件8</w:t>
      </w:r>
    </w:p>
    <w:p w14:paraId="7CC917B5">
      <w:pPr>
        <w:jc w:val="center"/>
        <w:rPr>
          <w:rFonts w:hint="eastAsia" w:ascii="黑体" w:hAnsi="黑体" w:eastAsia="黑体" w:cs="黑体"/>
          <w:color w:val="000000"/>
          <w:sz w:val="44"/>
          <w:szCs w:val="44"/>
        </w:rPr>
      </w:pPr>
      <w:r>
        <w:rPr>
          <w:rFonts w:hint="eastAsia" w:ascii="黑体" w:hAnsi="黑体" w:eastAsia="黑体" w:cs="黑体"/>
          <w:color w:val="000000"/>
          <w:sz w:val="44"/>
          <w:szCs w:val="44"/>
        </w:rPr>
        <w:t>项目需求表</w:t>
      </w:r>
    </w:p>
    <w:tbl>
      <w:tblPr>
        <w:tblStyle w:val="5"/>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4"/>
        <w:gridCol w:w="6715"/>
      </w:tblGrid>
      <w:tr w14:paraId="7CFA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2284" w:type="dxa"/>
            <w:vAlign w:val="center"/>
          </w:tcPr>
          <w:p w14:paraId="38C76F98">
            <w:pPr>
              <w:jc w:val="center"/>
              <w:rPr>
                <w:rFonts w:hint="eastAsia" w:ascii="宋体" w:hAnsi="宋体" w:eastAsia="宋体" w:cs="宋体"/>
                <w:color w:val="000000"/>
                <w:sz w:val="30"/>
                <w:szCs w:val="30"/>
              </w:rPr>
            </w:pPr>
            <w:r>
              <w:rPr>
                <w:rFonts w:hint="eastAsia" w:ascii="宋体" w:hAnsi="宋体" w:eastAsia="宋体" w:cs="宋体"/>
                <w:color w:val="000000"/>
                <w:sz w:val="30"/>
                <w:szCs w:val="30"/>
              </w:rPr>
              <w:t>项目名称</w:t>
            </w:r>
          </w:p>
        </w:tc>
        <w:tc>
          <w:tcPr>
            <w:tcW w:w="6715" w:type="dxa"/>
            <w:vAlign w:val="center"/>
          </w:tcPr>
          <w:p w14:paraId="145C2502">
            <w:pPr>
              <w:jc w:val="center"/>
              <w:rPr>
                <w:rFonts w:hint="eastAsia" w:ascii="宋体" w:hAnsi="宋体" w:eastAsia="宋体" w:cs="宋体"/>
                <w:color w:val="000000"/>
                <w:sz w:val="30"/>
                <w:szCs w:val="30"/>
              </w:rPr>
            </w:pPr>
            <w:r>
              <w:rPr>
                <w:rFonts w:ascii="宋体" w:hAnsi="宋体" w:eastAsia="宋体" w:cs="宋体"/>
                <w:color w:val="000000"/>
                <w:sz w:val="30"/>
                <w:szCs w:val="30"/>
              </w:rPr>
              <w:t>信息系统接口改造</w:t>
            </w:r>
            <w:r>
              <w:rPr>
                <w:rFonts w:hint="eastAsia" w:ascii="宋体" w:hAnsi="宋体" w:eastAsia="宋体" w:cs="宋体"/>
                <w:color w:val="000000"/>
                <w:sz w:val="30"/>
                <w:szCs w:val="30"/>
              </w:rPr>
              <w:t>服务</w:t>
            </w:r>
            <w:r>
              <w:rPr>
                <w:rFonts w:ascii="宋体" w:hAnsi="宋体" w:eastAsia="宋体" w:cs="宋体"/>
                <w:color w:val="000000"/>
                <w:sz w:val="30"/>
                <w:szCs w:val="30"/>
              </w:rPr>
              <w:t>项目</w:t>
            </w:r>
          </w:p>
        </w:tc>
      </w:tr>
      <w:tr w14:paraId="59C2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0" w:hRule="atLeast"/>
          <w:jc w:val="center"/>
        </w:trPr>
        <w:tc>
          <w:tcPr>
            <w:tcW w:w="8999" w:type="dxa"/>
            <w:gridSpan w:val="2"/>
          </w:tcPr>
          <w:p w14:paraId="23F0CF7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需求内容：</w:t>
            </w:r>
          </w:p>
          <w:p w14:paraId="0D0E7D1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本次项目主要为</w:t>
            </w:r>
            <w:r>
              <w:rPr>
                <w:rFonts w:ascii="宋体" w:hAnsi="宋体" w:eastAsia="宋体" w:cs="宋体"/>
                <w:color w:val="000000"/>
                <w:sz w:val="30"/>
                <w:szCs w:val="30"/>
              </w:rPr>
              <w:t>信息系统接口改造</w:t>
            </w:r>
            <w:r>
              <w:rPr>
                <w:rFonts w:hint="eastAsia" w:ascii="宋体" w:hAnsi="宋体" w:eastAsia="宋体" w:cs="宋体"/>
                <w:color w:val="000000"/>
                <w:sz w:val="30"/>
                <w:szCs w:val="30"/>
              </w:rPr>
              <w:t>服务</w:t>
            </w:r>
            <w:r>
              <w:rPr>
                <w:rFonts w:ascii="宋体" w:hAnsi="宋体" w:eastAsia="宋体" w:cs="宋体"/>
                <w:color w:val="000000"/>
                <w:sz w:val="30"/>
                <w:szCs w:val="30"/>
              </w:rPr>
              <w:t>项目</w:t>
            </w:r>
            <w:r>
              <w:rPr>
                <w:rFonts w:hint="eastAsia" w:ascii="宋体" w:hAnsi="宋体" w:eastAsia="宋体" w:cs="宋体"/>
                <w:color w:val="000000"/>
                <w:sz w:val="30"/>
                <w:szCs w:val="30"/>
              </w:rPr>
              <w:t>，具体需求内容如下：</w:t>
            </w:r>
          </w:p>
          <w:p w14:paraId="49DE652A">
            <w:pPr>
              <w:jc w:val="left"/>
              <w:rPr>
                <w:rFonts w:ascii="宋体" w:hAnsi="宋体" w:eastAsia="宋体" w:cs="宋体"/>
                <w:color w:val="000000"/>
                <w:sz w:val="30"/>
                <w:szCs w:val="30"/>
              </w:rPr>
            </w:pPr>
            <w:r>
              <w:rPr>
                <w:rFonts w:ascii="宋体" w:hAnsi="宋体" w:eastAsia="宋体" w:cs="宋体"/>
                <w:color w:val="000000"/>
                <w:sz w:val="30"/>
                <w:szCs w:val="30"/>
              </w:rPr>
              <w:t>所提供的接口改造服务必须能与现有的HIS系统、EMR系统、集成平台实现数据无缝连接，本项目所涉及的业务数据均能够相互调阅实现流程的一体化应用，招标方无需另行支付</w:t>
            </w:r>
            <w:r>
              <w:rPr>
                <w:rFonts w:hint="eastAsia" w:ascii="宋体" w:hAnsi="宋体" w:eastAsia="宋体" w:cs="宋体"/>
                <w:color w:val="000000"/>
                <w:sz w:val="30"/>
                <w:szCs w:val="30"/>
              </w:rPr>
              <w:t>费用</w:t>
            </w:r>
            <w:r>
              <w:rPr>
                <w:rFonts w:ascii="宋体" w:hAnsi="宋体" w:eastAsia="宋体" w:cs="宋体"/>
                <w:color w:val="000000"/>
                <w:sz w:val="30"/>
                <w:szCs w:val="30"/>
              </w:rPr>
              <w:t>。</w:t>
            </w:r>
          </w:p>
          <w:p w14:paraId="0F7CF6D7">
            <w:pPr>
              <w:jc w:val="left"/>
              <w:rPr>
                <w:rFonts w:hint="eastAsia" w:ascii="宋体" w:hAnsi="宋体" w:eastAsia="宋体" w:cs="宋体"/>
                <w:color w:val="000000"/>
                <w:sz w:val="30"/>
                <w:szCs w:val="30"/>
              </w:rPr>
            </w:pPr>
          </w:p>
          <w:p w14:paraId="575C7796">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一、信用就医接口（先诊疗后付费）</w:t>
            </w:r>
          </w:p>
          <w:p w14:paraId="1164A6F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1、诊疗失信接口</w:t>
            </w:r>
            <w:r>
              <w:rPr>
                <w:rFonts w:hint="eastAsia" w:ascii="宋体" w:hAnsi="宋体" w:eastAsia="宋体" w:cs="宋体"/>
                <w:color w:val="000000"/>
                <w:sz w:val="30"/>
                <w:szCs w:val="30"/>
              </w:rPr>
              <w:tab/>
            </w:r>
          </w:p>
          <w:p w14:paraId="5D64F8D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（1）支持生成电子健康卡授权链接；</w:t>
            </w:r>
          </w:p>
          <w:p w14:paraId="05AA232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（2）支持查询电子健康卡授权结果；</w:t>
            </w:r>
          </w:p>
          <w:p w14:paraId="6B14202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（3）支持电子健康卡验码；</w:t>
            </w:r>
          </w:p>
          <w:p w14:paraId="7E218753">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（4）支持查询医保患者主索引；</w:t>
            </w:r>
          </w:p>
          <w:p w14:paraId="6751665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（5）支持上报医疗欠费数据；</w:t>
            </w:r>
          </w:p>
          <w:p w14:paraId="38D1480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（6）支持查询医疗欠费状况；</w:t>
            </w:r>
          </w:p>
          <w:p w14:paraId="4FC4A4C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（7）支持更新医疗欠费数据；</w:t>
            </w:r>
          </w:p>
          <w:p w14:paraId="45F36D7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（8）支持院内医疗欠费结算结果查询；</w:t>
            </w:r>
          </w:p>
          <w:p w14:paraId="26BC61E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（9）支持结果回调通知；</w:t>
            </w:r>
          </w:p>
          <w:p w14:paraId="2403A5D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2、退款接口</w:t>
            </w:r>
            <w:r>
              <w:rPr>
                <w:rFonts w:hint="eastAsia" w:ascii="宋体" w:hAnsi="宋体" w:eastAsia="宋体" w:cs="宋体"/>
                <w:color w:val="000000"/>
                <w:sz w:val="30"/>
                <w:szCs w:val="30"/>
              </w:rPr>
              <w:tab/>
            </w:r>
          </w:p>
          <w:p w14:paraId="3AFD1BC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（1）支持待退病人名单查询(批量）；</w:t>
            </w:r>
          </w:p>
          <w:p w14:paraId="1B1FFE8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（2）支持病人待退明细查询（按单个人）；</w:t>
            </w:r>
          </w:p>
          <w:p w14:paraId="3575763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（3）支持院内退款，支持单个病人，单笔订单；</w:t>
            </w:r>
          </w:p>
          <w:p w14:paraId="7643D8C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（4）支持院内退款结果接收，支持单个病人，单笔订单；</w:t>
            </w:r>
          </w:p>
          <w:p w14:paraId="23E0B6E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3、退款短信处理；</w:t>
            </w:r>
          </w:p>
          <w:p w14:paraId="7ED620D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4、微信公众号推送接口。</w:t>
            </w:r>
          </w:p>
          <w:p w14:paraId="6F77720E">
            <w:pPr>
              <w:jc w:val="left"/>
              <w:rPr>
                <w:rFonts w:hint="eastAsia" w:ascii="宋体" w:hAnsi="宋体" w:eastAsia="宋体" w:cs="宋体"/>
                <w:color w:val="000000"/>
                <w:sz w:val="30"/>
                <w:szCs w:val="30"/>
              </w:rPr>
            </w:pPr>
          </w:p>
          <w:p w14:paraId="77B6151E">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二、检查药房接口改造</w:t>
            </w:r>
          </w:p>
          <w:p w14:paraId="1F55116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1、建立独立的科室药房管理系统，做好药房初始化工作；</w:t>
            </w:r>
          </w:p>
          <w:p w14:paraId="1D89F08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2、新增科室与平行药房的配置功能，在自动产生的处方要能挂到对应的平行药房下；</w:t>
            </w:r>
          </w:p>
          <w:p w14:paraId="4FDDC09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3、医技保存的过程改造，增加获取平行药房的功能,带出处方增加预扣功能，如果平行药房库存不够的不允许保存；</w:t>
            </w:r>
          </w:p>
          <w:p w14:paraId="09322E43">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4、检查收费时自动带出的药品做自动发药；</w:t>
            </w:r>
          </w:p>
          <w:p w14:paraId="652565C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5、检查退费时自动带出药品做自动退药退费</w:t>
            </w:r>
            <w:r>
              <w:rPr>
                <w:rFonts w:hint="eastAsia" w:ascii="宋体" w:hAnsi="宋体" w:eastAsia="宋体" w:cs="宋体"/>
                <w:color w:val="000000"/>
                <w:sz w:val="30"/>
                <w:szCs w:val="30"/>
              </w:rPr>
              <w:tab/>
            </w:r>
            <w:r>
              <w:rPr>
                <w:rFonts w:hint="eastAsia" w:ascii="宋体" w:hAnsi="宋体" w:eastAsia="宋体" w:cs="宋体"/>
                <w:color w:val="000000"/>
                <w:sz w:val="30"/>
                <w:szCs w:val="30"/>
              </w:rPr>
              <w:t>；</w:t>
            </w:r>
          </w:p>
          <w:p w14:paraId="66BF62C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6、门诊医生系统做对应提示改造，检查申请单保存时，如果平行药房库存不足，给予相应提示；</w:t>
            </w:r>
          </w:p>
          <w:p w14:paraId="573D6F6B">
            <w:pPr>
              <w:jc w:val="left"/>
              <w:rPr>
                <w:rFonts w:hint="eastAsia" w:ascii="宋体" w:hAnsi="宋体" w:eastAsia="宋体" w:cs="宋体"/>
                <w:color w:val="000000"/>
                <w:sz w:val="30"/>
                <w:szCs w:val="30"/>
                <w:lang w:eastAsia="zh-CN"/>
              </w:rPr>
            </w:pPr>
            <w:r>
              <w:rPr>
                <w:rFonts w:hint="eastAsia" w:ascii="宋体" w:hAnsi="宋体" w:eastAsia="宋体" w:cs="宋体"/>
                <w:color w:val="000000"/>
                <w:sz w:val="30"/>
                <w:szCs w:val="30"/>
              </w:rPr>
              <w:t>7、医技科室支持录入诊疗带出的药品</w:t>
            </w:r>
            <w:r>
              <w:rPr>
                <w:rFonts w:hint="eastAsia" w:ascii="宋体" w:hAnsi="宋体" w:eastAsia="宋体" w:cs="宋体"/>
                <w:color w:val="000000"/>
                <w:sz w:val="30"/>
                <w:szCs w:val="30"/>
                <w:lang w:eastAsia="zh-CN"/>
              </w:rPr>
              <w:t>。</w:t>
            </w:r>
          </w:p>
          <w:p w14:paraId="34B85EE0">
            <w:pPr>
              <w:jc w:val="left"/>
              <w:rPr>
                <w:rFonts w:hint="eastAsia" w:ascii="宋体" w:hAnsi="宋体" w:eastAsia="宋体" w:cs="宋体"/>
                <w:color w:val="000000"/>
                <w:sz w:val="30"/>
                <w:szCs w:val="30"/>
              </w:rPr>
            </w:pPr>
          </w:p>
          <w:p w14:paraId="6AE830C3">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三、制剂室药品自动转换改造</w:t>
            </w:r>
          </w:p>
          <w:p w14:paraId="68A3A153">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1、制剂室</w:t>
            </w:r>
          </w:p>
          <w:p w14:paraId="6870C9F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（1）制剂室申领模板改造</w:t>
            </w:r>
            <w:r>
              <w:rPr>
                <w:rFonts w:hint="eastAsia" w:ascii="宋体" w:hAnsi="宋体" w:eastAsia="宋体" w:cs="宋体"/>
                <w:color w:val="000000"/>
                <w:sz w:val="30"/>
                <w:szCs w:val="30"/>
              </w:rPr>
              <w:tab/>
            </w:r>
          </w:p>
          <w:p w14:paraId="4A01CAC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除了普通模板的基本功能外必须具备如下功能：</w:t>
            </w:r>
          </w:p>
          <w:p w14:paraId="41CCDBE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每个制剂请领模板必须指定制剂成品，并且要维护预计生成成品的数量；</w:t>
            </w:r>
          </w:p>
          <w:p w14:paraId="6B1E16A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每个制剂请领模板也必须指定包装材料，并且也要维护预计使用的包装材料的数量。</w:t>
            </w:r>
          </w:p>
          <w:p w14:paraId="7C589CD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（2）制剂室请领单输入改造</w:t>
            </w:r>
          </w:p>
          <w:p w14:paraId="6E852A7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 xml:space="preserve">制剂室输入请领单时，改为只能通过引用制剂材料模板来生成 ，生成后不能修改。 </w:t>
            </w:r>
          </w:p>
          <w:p w14:paraId="05BBBD2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相应产生的请领单主单增加记录成品的药品码与成品数量以及包装材料的物资码与数量。</w:t>
            </w:r>
          </w:p>
          <w:p w14:paraId="0E55310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（3）制剂室入库确认改造</w:t>
            </w:r>
          </w:p>
          <w:p w14:paraId="7545BC0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数据处理：记录此入库单的对应成品及包装盒信息。</w:t>
            </w:r>
          </w:p>
          <w:p w14:paraId="0F4BD32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2、中药库</w:t>
            </w:r>
            <w:r>
              <w:rPr>
                <w:rFonts w:hint="eastAsia" w:ascii="宋体" w:hAnsi="宋体" w:eastAsia="宋体" w:cs="宋体"/>
                <w:color w:val="000000"/>
                <w:sz w:val="30"/>
                <w:szCs w:val="30"/>
              </w:rPr>
              <w:tab/>
            </w:r>
          </w:p>
          <w:p w14:paraId="6AF155D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（1）请领单输入改造</w:t>
            </w:r>
          </w:p>
          <w:p w14:paraId="4775FF0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去向部门是制剂室时生成的制剂室制剂材料入库单，增加记录成品的药品码与成品数量以及包装材料的物资码与数量，还有增加成品是否完成的标志信息；</w:t>
            </w:r>
          </w:p>
          <w:p w14:paraId="14C6848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 xml:space="preserve">制剂室输入请领单时，改为只能通过引用制剂材料模板来生成，生成后不能修改。   </w:t>
            </w:r>
          </w:p>
          <w:p w14:paraId="1ED794C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相应产生的请领单主单增加记录成品的药品码与成品数量以及包装材料的物资码与数量。</w:t>
            </w:r>
          </w:p>
          <w:p w14:paraId="4F73465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（2）出库确认</w:t>
            </w:r>
          </w:p>
          <w:p w14:paraId="145DA23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去向部门是制剂室时，数据处理时必须记录此入库单的对应成品及包装盒信息。</w:t>
            </w:r>
          </w:p>
          <w:p w14:paraId="6723E29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3、制剂库</w:t>
            </w:r>
            <w:r>
              <w:rPr>
                <w:rFonts w:hint="eastAsia" w:ascii="宋体" w:hAnsi="宋体" w:eastAsia="宋体" w:cs="宋体"/>
                <w:color w:val="000000"/>
                <w:sz w:val="30"/>
                <w:szCs w:val="30"/>
              </w:rPr>
              <w:tab/>
            </w:r>
          </w:p>
          <w:p w14:paraId="66B82B1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（1）制剂库成品入库改造</w:t>
            </w:r>
            <w:r>
              <w:rPr>
                <w:rFonts w:hint="eastAsia" w:ascii="宋体" w:hAnsi="宋体" w:eastAsia="宋体" w:cs="宋体"/>
                <w:color w:val="000000"/>
                <w:sz w:val="30"/>
                <w:szCs w:val="30"/>
              </w:rPr>
              <w:tab/>
            </w:r>
          </w:p>
          <w:p w14:paraId="425B188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入库单输入：制剂库成品入库输入时必须指定制剂室对应成品的未完成的入库单，以及标示该制剂室入库单对应的成品是否已经完成。</w:t>
            </w:r>
          </w:p>
          <w:p w14:paraId="3BC9E6B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（2）制剂库入库确认改造</w:t>
            </w:r>
            <w:r>
              <w:rPr>
                <w:rFonts w:hint="eastAsia" w:ascii="宋体" w:hAnsi="宋体" w:eastAsia="宋体" w:cs="宋体"/>
                <w:color w:val="000000"/>
                <w:sz w:val="30"/>
                <w:szCs w:val="30"/>
              </w:rPr>
              <w:tab/>
            </w:r>
          </w:p>
          <w:p w14:paraId="4BA3C56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如果入库单对应的制剂室入库单已标识对应成品已经完成，则此时会自动生成一个制剂室的制剂材料出库单，以及对应包装材料的物资出库单，并且此两个出库单与当前成品入库单对应关联。</w:t>
            </w:r>
          </w:p>
          <w:p w14:paraId="15405887">
            <w:pPr>
              <w:jc w:val="left"/>
              <w:rPr>
                <w:rFonts w:hint="eastAsia" w:ascii="宋体" w:hAnsi="宋体" w:eastAsia="宋体" w:cs="宋体"/>
                <w:color w:val="000000"/>
                <w:sz w:val="30"/>
                <w:szCs w:val="30"/>
              </w:rPr>
            </w:pPr>
          </w:p>
          <w:p w14:paraId="64D7F31A">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四、PDA对接CA</w:t>
            </w:r>
          </w:p>
          <w:p w14:paraId="4B96169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PDA 与 CA 系统对接：</w:t>
            </w:r>
          </w:p>
          <w:p w14:paraId="57EE93F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1、涵盖临床护理记录单、手术病人交接记录单、中医治疗单、输液单执行等。</w:t>
            </w:r>
          </w:p>
          <w:p w14:paraId="0FE0A34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2、通过集成 CA 电子认证服务，实现各类护理单据的CA 电子签名，确保医嘱执行与护理记录的合法性、真实性。</w:t>
            </w:r>
          </w:p>
          <w:p w14:paraId="7705BE3D">
            <w:pPr>
              <w:jc w:val="left"/>
              <w:rPr>
                <w:rFonts w:hint="eastAsia" w:ascii="宋体" w:hAnsi="宋体" w:eastAsia="宋体" w:cs="宋体"/>
                <w:color w:val="000000"/>
                <w:sz w:val="30"/>
                <w:szCs w:val="30"/>
              </w:rPr>
            </w:pPr>
          </w:p>
          <w:p w14:paraId="6E2BAF3A">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五、注射用苄星青霉素免费开单改造</w:t>
            </w:r>
          </w:p>
          <w:p w14:paraId="1CEE35E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因政策要求对于产妇使用“苄星青霉素”，此部分费用由医院负担，患者免费使用。功能改造：</w:t>
            </w:r>
          </w:p>
          <w:p w14:paraId="79961C0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1、界面上增加一个"免费"勾选项，供医生自行勾选，可勾选药品需由通用字典配置，配置后才可勾选及显示。</w:t>
            </w:r>
          </w:p>
          <w:p w14:paraId="0EBD4AB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2、勾选后，弹出提示“注射用苄星青霉素(免费)仅针对梅毒阳性孕妇及梅毒感染孕产妇所生的新生儿预防性治疗”，处方表明细表记录是否免费，便于计价时判断。</w:t>
            </w:r>
          </w:p>
          <w:p w14:paraId="11A09693">
            <w:pPr>
              <w:jc w:val="left"/>
              <w:rPr>
                <w:rFonts w:hint="eastAsia" w:ascii="宋体" w:hAnsi="宋体" w:eastAsia="宋体" w:cs="宋体"/>
                <w:color w:val="000000"/>
                <w:sz w:val="30"/>
                <w:szCs w:val="30"/>
              </w:rPr>
            </w:pPr>
          </w:p>
          <w:p w14:paraId="0EE78414">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六、追溯码PDA、对接码上放心</w:t>
            </w:r>
          </w:p>
          <w:p w14:paraId="62C2BEF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1、追溯码PDA系统采购入库扫追溯码功能对接码上放心平台；</w:t>
            </w:r>
          </w:p>
          <w:p w14:paraId="64240EEC">
            <w:pPr>
              <w:jc w:val="left"/>
              <w:rPr>
                <w:rFonts w:hint="eastAsia" w:ascii="宋体" w:hAnsi="宋体" w:eastAsia="宋体" w:cs="宋体"/>
                <w:color w:val="000000"/>
                <w:sz w:val="30"/>
                <w:szCs w:val="30"/>
                <w:lang w:eastAsia="zh-CN"/>
              </w:rPr>
            </w:pPr>
            <w:r>
              <w:rPr>
                <w:rFonts w:hint="eastAsia" w:ascii="宋体" w:hAnsi="宋体" w:eastAsia="宋体" w:cs="宋体"/>
                <w:color w:val="000000"/>
                <w:sz w:val="30"/>
                <w:szCs w:val="30"/>
              </w:rPr>
              <w:t>2、药库入库做追溯码对接码上放心平台改造</w:t>
            </w:r>
            <w:r>
              <w:rPr>
                <w:rFonts w:hint="eastAsia" w:ascii="宋体" w:hAnsi="宋体" w:eastAsia="宋体" w:cs="宋体"/>
                <w:color w:val="000000"/>
                <w:sz w:val="30"/>
                <w:szCs w:val="30"/>
                <w:lang w:eastAsia="zh-CN"/>
              </w:rPr>
              <w:t>。</w:t>
            </w:r>
          </w:p>
          <w:p w14:paraId="48966701">
            <w:pPr>
              <w:jc w:val="left"/>
              <w:rPr>
                <w:rFonts w:hint="eastAsia" w:ascii="宋体" w:hAnsi="宋体" w:eastAsia="宋体" w:cs="宋体"/>
                <w:color w:val="000000"/>
                <w:sz w:val="30"/>
                <w:szCs w:val="30"/>
                <w:lang w:eastAsia="zh-CN"/>
              </w:rPr>
            </w:pPr>
          </w:p>
          <w:p w14:paraId="565D58BD">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七、生育保险异地联网直接结算接口</w:t>
            </w:r>
          </w:p>
          <w:p w14:paraId="56221EC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1、门诊生育信息采集</w:t>
            </w:r>
          </w:p>
          <w:p w14:paraId="76049DF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2、门诊收费系统结算改造</w:t>
            </w:r>
          </w:p>
          <w:p w14:paraId="2A2E45A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3、门诊自助机结算接口改造</w:t>
            </w:r>
          </w:p>
          <w:p w14:paraId="4C3422C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4、住院收费结算改造</w:t>
            </w:r>
          </w:p>
          <w:p w14:paraId="2B653561">
            <w:pPr>
              <w:jc w:val="left"/>
              <w:rPr>
                <w:rFonts w:hint="eastAsia" w:ascii="宋体" w:hAnsi="宋体" w:eastAsia="宋体" w:cs="宋体"/>
                <w:color w:val="000000"/>
                <w:sz w:val="30"/>
                <w:szCs w:val="30"/>
              </w:rPr>
            </w:pPr>
          </w:p>
          <w:p w14:paraId="07268B07">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八、异常住院费用病例核查接口</w:t>
            </w:r>
          </w:p>
          <w:p w14:paraId="6CB04C8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1、异常住院费用病例核查-医嘱接口</w:t>
            </w:r>
          </w:p>
          <w:p w14:paraId="4273DD3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（1）每例出院患者的医嘱数据在“异常住院费用病例核查-医嘱和异常住院费用病例核查-住院费用接口”多行数据。</w:t>
            </w:r>
          </w:p>
          <w:p w14:paraId="71FA2D4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（2）医嘱单和结算清单上传均以CSV格式上传，并且文件名格式为:“医院名称 病案号 出院时间年月日”。</w:t>
            </w:r>
          </w:p>
          <w:p w14:paraId="25A782F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（3）提供导出功能</w:t>
            </w:r>
          </w:p>
          <w:p w14:paraId="2657072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2、异常住院费用病例核查-住院费用接口</w:t>
            </w:r>
          </w:p>
          <w:p w14:paraId="73B963F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（1）每例出院患者的医嘱数据在“异常住院费用病例核查-医嘱和异常住院费用病例核查-住院费用接口”多行数据。</w:t>
            </w:r>
          </w:p>
          <w:p w14:paraId="2A3BDE0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（2）医嘱单和结算清单上传均以CSV格式上传，并且文件名格式为:“医院名称 病案号 出院时间年月日”。</w:t>
            </w:r>
          </w:p>
          <w:p w14:paraId="55C2A04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（3）提供导出功能</w:t>
            </w:r>
          </w:p>
          <w:p w14:paraId="61CFBB4C">
            <w:pPr>
              <w:jc w:val="left"/>
              <w:rPr>
                <w:rFonts w:hint="eastAsia" w:ascii="宋体" w:hAnsi="宋体" w:eastAsia="宋体" w:cs="宋体"/>
                <w:color w:val="000000"/>
                <w:sz w:val="30"/>
                <w:szCs w:val="30"/>
              </w:rPr>
            </w:pPr>
          </w:p>
          <w:p w14:paraId="268B4119">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九、公立中医院绩效监测病案首页数据上报接口</w:t>
            </w:r>
          </w:p>
          <w:p w14:paraId="474D213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公立中医院绩效监测病案首页数据上报主要内容包含：病案号，住院次数，入院时间，出院时间，医嘱编号，医嘱名称，医嘱分类，医嘱属性，剂型，给药途径，处方详情，开嘱时间，开嘱医生姓名，开嘱医生编码，医嘱开始执行时间，开始执行人员姓名，停嘱时间，停嘱医生姓名，停嘱医生编码，医嘱停止执行时间，停止执行人员姓名，医嘱天数（天），医嘱备注说明，出院带药标志，医疗机构中药制剂标志。</w:t>
            </w:r>
          </w:p>
          <w:p w14:paraId="75011419">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1、每例出院患者的医嘱数据在“中成药中草药医嘱数据采集接口标准”表中记录多行数据。</w:t>
            </w:r>
          </w:p>
          <w:p w14:paraId="456CF559">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2、支持以 *.zip格式的文件进行上传。</w:t>
            </w:r>
          </w:p>
          <w:p w14:paraId="000D3153">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3、文件命名为“机构编码_机构名称_上报年份_上报序号.zip”，例如 “TCMMS61003_西安中医医院_2024_1.zip”</w:t>
            </w:r>
          </w:p>
          <w:p w14:paraId="1529F66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4、单个zip文件中只能有1个 *.csv或者 *.dbf 文件。</w:t>
            </w:r>
          </w:p>
          <w:p w14:paraId="05DE783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5、由于本次上报相关字段有逻辑校验，为了不影响上传，每批病案数应小于一万份。</w:t>
            </w:r>
          </w:p>
          <w:p w14:paraId="42B63F8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6、系统会根据以上去重字段进行去重:1、上报数据去重;2、上报数据与入库数据去重。</w:t>
            </w:r>
          </w:p>
          <w:p w14:paraId="2A36BAE3">
            <w:pPr>
              <w:jc w:val="left"/>
              <w:rPr>
                <w:rFonts w:hint="eastAsia" w:ascii="宋体" w:hAnsi="宋体" w:eastAsia="宋体" w:cs="宋体"/>
                <w:color w:val="000000"/>
                <w:sz w:val="30"/>
                <w:szCs w:val="30"/>
              </w:rPr>
            </w:pPr>
          </w:p>
          <w:p w14:paraId="64AFB6C9">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十、医保考核功能指标改造</w:t>
            </w:r>
          </w:p>
          <w:p w14:paraId="4404331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1.支持按“医保就诊ID”“医保结算ID”“记账流水号”查院内明细数据，查询结果后，支持导出，院方自行对比医院和医保数据；</w:t>
            </w:r>
          </w:p>
          <w:p w14:paraId="702976D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2.通过上传Excel表格，表格中模板由医院自定义，包括但不限于含有“医保就诊ID”“医保结算ID”“记账流水号”等数据；</w:t>
            </w:r>
          </w:p>
          <w:p w14:paraId="01C0DC6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3.通过上传Excel表格，表格中模板由医院自定义，包括但不限于含有“处方/医嘱号”等数据。</w:t>
            </w:r>
          </w:p>
          <w:p w14:paraId="05DE7AD8">
            <w:pPr>
              <w:jc w:val="left"/>
              <w:rPr>
                <w:rFonts w:hint="eastAsia" w:ascii="宋体" w:hAnsi="宋体" w:eastAsia="宋体" w:cs="宋体"/>
                <w:color w:val="000000"/>
                <w:sz w:val="30"/>
                <w:szCs w:val="30"/>
              </w:rPr>
            </w:pPr>
          </w:p>
          <w:p w14:paraId="5ED3AA7D">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十一、360患者视图体检检查检验报告调阅改造</w:t>
            </w:r>
          </w:p>
          <w:p w14:paraId="79406629">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1、新增体检检查记录（PACS和心电）接入调阅：含列表、详情、PDF报告、图像等。</w:t>
            </w:r>
          </w:p>
          <w:p w14:paraId="369C213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2、新增体检检验记录接入调阅：含列表、详情、PDF报告等。</w:t>
            </w:r>
          </w:p>
          <w:p w14:paraId="1EB216A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3、加强体检患者主索引联动，新增体检患者数据自动修复等联动功能。</w:t>
            </w:r>
          </w:p>
          <w:p w14:paraId="2D579D21">
            <w:pPr>
              <w:jc w:val="left"/>
              <w:rPr>
                <w:rFonts w:hint="eastAsia" w:ascii="宋体" w:hAnsi="宋体" w:eastAsia="宋体" w:cs="宋体"/>
                <w:color w:val="000000"/>
                <w:sz w:val="30"/>
                <w:szCs w:val="30"/>
              </w:rPr>
            </w:pPr>
          </w:p>
          <w:p w14:paraId="311C44A3">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十二、转账退款批量冲正接口</w:t>
            </w:r>
          </w:p>
          <w:p w14:paraId="2481E2A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1、增加银行转账失败名单预交金冲正处理；</w:t>
            </w:r>
          </w:p>
          <w:p w14:paraId="25E003E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2、冲正处理后给病人发一个微信公众号消息。</w:t>
            </w:r>
          </w:p>
          <w:p w14:paraId="7E593AD5">
            <w:pPr>
              <w:jc w:val="left"/>
              <w:rPr>
                <w:rFonts w:hint="eastAsia" w:ascii="宋体" w:hAnsi="宋体" w:eastAsia="宋体" w:cs="宋体"/>
                <w:color w:val="000000"/>
                <w:sz w:val="30"/>
                <w:szCs w:val="30"/>
              </w:rPr>
            </w:pPr>
          </w:p>
          <w:p w14:paraId="1E032883">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十三、抗菌药物上报接口</w:t>
            </w:r>
          </w:p>
          <w:p w14:paraId="7A35F0C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1、门急诊处方记录</w:t>
            </w:r>
          </w:p>
          <w:p w14:paraId="0262A4D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根据上报数据时间范围要求，提供开方时间在指定日期范围内全部已发药的门急诊处方，每个处方药品条目一行。不含退费处方及中药饮片处方。</w:t>
            </w:r>
          </w:p>
          <w:p w14:paraId="1D5A758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2、住院患者出院信息</w:t>
            </w:r>
            <w:r>
              <w:rPr>
                <w:rFonts w:hint="eastAsia" w:ascii="宋体" w:hAnsi="宋体" w:eastAsia="宋体" w:cs="宋体"/>
                <w:color w:val="000000"/>
                <w:sz w:val="30"/>
                <w:szCs w:val="30"/>
              </w:rPr>
              <w:tab/>
            </w:r>
          </w:p>
          <w:p w14:paraId="325C1A2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拟接收的科室审核人员确认审核，转诊申请单推送到院内系统</w:t>
            </w:r>
          </w:p>
          <w:p w14:paraId="1263638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3、住院诊断记录</w:t>
            </w:r>
            <w:r>
              <w:rPr>
                <w:rFonts w:hint="eastAsia" w:ascii="宋体" w:hAnsi="宋体" w:eastAsia="宋体" w:cs="宋体"/>
                <w:color w:val="000000"/>
                <w:sz w:val="30"/>
                <w:szCs w:val="30"/>
              </w:rPr>
              <w:tab/>
            </w:r>
          </w:p>
          <w:p w14:paraId="09ED9EA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院内系统增加转诊患者列表的页面，并做确认接收</w:t>
            </w:r>
          </w:p>
          <w:p w14:paraId="7BEBAB5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4、住院医嘱记录</w:t>
            </w:r>
            <w:r>
              <w:rPr>
                <w:rFonts w:hint="eastAsia" w:ascii="宋体" w:hAnsi="宋体" w:eastAsia="宋体" w:cs="宋体"/>
                <w:color w:val="000000"/>
                <w:sz w:val="30"/>
                <w:szCs w:val="30"/>
              </w:rPr>
              <w:tab/>
            </w:r>
          </w:p>
          <w:p w14:paraId="1B18A6B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患者来院之后由转诊咨询台对接处理引导患者院内建档等住院流程</w:t>
            </w:r>
          </w:p>
          <w:p w14:paraId="1BC13F7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5、抗菌药物消耗情况</w:t>
            </w:r>
            <w:r>
              <w:rPr>
                <w:rFonts w:hint="eastAsia" w:ascii="宋体" w:hAnsi="宋体" w:eastAsia="宋体" w:cs="宋体"/>
                <w:color w:val="000000"/>
                <w:sz w:val="30"/>
                <w:szCs w:val="30"/>
              </w:rPr>
              <w:tab/>
            </w:r>
          </w:p>
          <w:p w14:paraId="5FAC381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根据上报数据时间范围要求，提供指定日期范围内出院患者全部抗菌药物消耗情况，每个抗菌药物一行。</w:t>
            </w:r>
          </w:p>
          <w:p w14:paraId="6CF04987">
            <w:pPr>
              <w:numPr>
                <w:ilvl w:val="0"/>
                <w:numId w:val="1"/>
              </w:numPr>
              <w:jc w:val="left"/>
              <w:rPr>
                <w:rFonts w:hint="eastAsia" w:ascii="宋体" w:hAnsi="宋体" w:eastAsia="宋体" w:cs="宋体"/>
                <w:color w:val="000000"/>
                <w:sz w:val="30"/>
                <w:szCs w:val="30"/>
              </w:rPr>
            </w:pPr>
            <w:r>
              <w:rPr>
                <w:rFonts w:hint="eastAsia" w:ascii="宋体" w:hAnsi="宋体" w:eastAsia="宋体" w:cs="宋体"/>
                <w:color w:val="000000"/>
                <w:sz w:val="30"/>
                <w:szCs w:val="30"/>
              </w:rPr>
              <w:t>生命体征记录根据上报数据时间范围要求，提供指定日期范围出院患者本次住院生命体征信息，每条生命体征记录一行。未出测定结果的数据无需上报。</w:t>
            </w:r>
          </w:p>
          <w:p w14:paraId="19665567">
            <w:pPr>
              <w:numPr>
                <w:numId w:val="0"/>
              </w:numPr>
              <w:jc w:val="left"/>
              <w:rPr>
                <w:rFonts w:hint="eastAsia" w:ascii="宋体" w:hAnsi="宋体" w:eastAsia="宋体" w:cs="宋体"/>
                <w:color w:val="000000"/>
                <w:sz w:val="30"/>
                <w:szCs w:val="30"/>
              </w:rPr>
            </w:pPr>
          </w:p>
          <w:p w14:paraId="5941C052">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十四、超声减收项目接口</w:t>
            </w:r>
          </w:p>
          <w:p w14:paraId="4A7BE26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1、项目维护系统改造：减收项目（价格&lt;0)项目允许维护；</w:t>
            </w:r>
          </w:p>
          <w:p w14:paraId="0DAA6B3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2、医技系统改造：含减收项目的医技单要可以正常执行扣费，退费；</w:t>
            </w:r>
          </w:p>
          <w:p w14:paraId="5DE0850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3、病区系统：含减收项目的医技单要可以正常退费；</w:t>
            </w:r>
          </w:p>
          <w:p w14:paraId="095C728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4、门诊收费系统改造</w:t>
            </w:r>
            <w:r>
              <w:rPr>
                <w:rFonts w:hint="eastAsia" w:ascii="宋体" w:hAnsi="宋体" w:eastAsia="宋体" w:cs="宋体"/>
                <w:color w:val="000000"/>
                <w:sz w:val="30"/>
                <w:szCs w:val="30"/>
              </w:rPr>
              <w:tab/>
            </w:r>
            <w:r>
              <w:rPr>
                <w:rFonts w:hint="eastAsia" w:ascii="宋体" w:hAnsi="宋体" w:eastAsia="宋体" w:cs="宋体"/>
                <w:color w:val="000000"/>
                <w:sz w:val="30"/>
                <w:szCs w:val="30"/>
              </w:rPr>
              <w:t>：按医保政策整理交互报文；</w:t>
            </w:r>
          </w:p>
          <w:p w14:paraId="3AA1763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5、住院收费系统改造：按医保政策整理交互报文。</w:t>
            </w:r>
          </w:p>
          <w:p w14:paraId="0AC80526">
            <w:pPr>
              <w:jc w:val="left"/>
              <w:rPr>
                <w:rFonts w:hint="eastAsia" w:ascii="宋体" w:hAnsi="宋体" w:eastAsia="宋体" w:cs="宋体"/>
                <w:color w:val="000000"/>
                <w:sz w:val="30"/>
                <w:szCs w:val="30"/>
              </w:rPr>
            </w:pPr>
          </w:p>
          <w:p w14:paraId="5F41BE8D">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十五、药品追溯码增补接口</w:t>
            </w:r>
          </w:p>
          <w:p w14:paraId="7838107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1、包含门诊追溯码上传医保功能改造和住院追溯码上传功能改造。</w:t>
            </w:r>
          </w:p>
          <w:p w14:paraId="19DDB9D9">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2、增加费用明细流水号、拆零标志（拆零标志）、最小计价单位类型；</w:t>
            </w:r>
          </w:p>
          <w:p w14:paraId="6882B27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3、同时追溯码上传的单位，单价要与结算时费用明细上传的一致。</w:t>
            </w:r>
          </w:p>
          <w:p w14:paraId="27A86703">
            <w:pPr>
              <w:jc w:val="left"/>
              <w:rPr>
                <w:rFonts w:hint="eastAsia" w:ascii="宋体" w:hAnsi="宋体" w:eastAsia="宋体" w:cs="宋体"/>
                <w:color w:val="000000"/>
                <w:sz w:val="30"/>
                <w:szCs w:val="30"/>
              </w:rPr>
            </w:pPr>
          </w:p>
          <w:p w14:paraId="04B68074">
            <w:pPr>
              <w:jc w:val="left"/>
              <w:rPr>
                <w:rFonts w:ascii="宋体" w:hAnsi="宋体" w:eastAsia="宋体" w:cs="宋体"/>
                <w:b/>
                <w:bCs/>
                <w:color w:val="000000"/>
                <w:sz w:val="30"/>
                <w:szCs w:val="30"/>
              </w:rPr>
            </w:pPr>
            <w:r>
              <w:rPr>
                <w:rFonts w:hint="eastAsia" w:ascii="宋体" w:hAnsi="宋体" w:eastAsia="宋体" w:cs="宋体"/>
                <w:b/>
                <w:bCs/>
                <w:color w:val="000000"/>
                <w:sz w:val="30"/>
                <w:szCs w:val="30"/>
              </w:rPr>
              <w:t>十六、门急诊诊疗信息页</w:t>
            </w:r>
          </w:p>
          <w:p w14:paraId="4EE8808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1、数据采集</w:t>
            </w:r>
          </w:p>
          <w:p w14:paraId="4897C45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1.1 数据元维护</w:t>
            </w:r>
          </w:p>
          <w:p w14:paraId="687D211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维护门诊诊疗页所需的数据，对数据元的名称、类型、长度等进行维护。支持医院自定义增加部分信息，能够提供规定外的其他项目录入。</w:t>
            </w:r>
          </w:p>
          <w:p w14:paraId="236C045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1.2 数据元字典维护</w:t>
            </w:r>
          </w:p>
          <w:p w14:paraId="01F05D3F">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针对诊疗信息页中数据所需的字典进行维护</w:t>
            </w:r>
          </w:p>
          <w:p w14:paraId="7D35FE3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1.3 字典映射</w:t>
            </w:r>
          </w:p>
          <w:p w14:paraId="1B669D5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对通过接口来源的数据的字典与系统数据字典进行映射，便于系统采集数据时按照映射关系进行数据映射后展示。</w:t>
            </w:r>
          </w:p>
          <w:p w14:paraId="4AAFBC4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如院方手术操作使用的是诊疗字典，系统支持院方对诊疗字典与系统字典的映射关系进行维护。采集手术操作数据时，系统按照映射关系对手术操作数据进行映射后展示并存储。</w:t>
            </w:r>
          </w:p>
          <w:p w14:paraId="52D77C5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1.4 数据获取</w:t>
            </w:r>
          </w:p>
          <w:p w14:paraId="2FC9C91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系统支持与门诊电子病历系统进行对接，在门诊结束诊疗时，实时获取患者信息、诊疗过程信息、诊疗信息等。</w:t>
            </w:r>
          </w:p>
          <w:p w14:paraId="791BCBB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系统支持与his系统进行对接，在患者结算时，实时获取患者费用信息。系统设置夜间自动任务，定时定点对更新的数据进行获取。除了系统自动获取采集数据外，系统支持用户通过按钮操作手动获取数据。系统获取数据时按照系统中的映射关系对数据映射后展示存储。</w:t>
            </w:r>
          </w:p>
          <w:p w14:paraId="3A62F35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1.5 数据实时质控</w:t>
            </w:r>
          </w:p>
          <w:p w14:paraId="011E0B9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与门诊电子病历系统对接，获取患者信息、诊疗过程信息、诊疗信息时，系统实时对数据进行质控，质控结果返回至门诊电子病历系统，医生可立即对当前就诊结束的患者的数据进行查阅确认与整改。</w:t>
            </w:r>
          </w:p>
          <w:p w14:paraId="78AEDE5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2、数据质控</w:t>
            </w:r>
          </w:p>
          <w:p w14:paraId="67959F6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2.1 质控规则维护</w:t>
            </w:r>
          </w:p>
          <w:p w14:paraId="721217E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对门诊诊疗信息页数据的完整性、合理性、逻辑性等各类型规则进行维护。</w:t>
            </w:r>
          </w:p>
          <w:p w14:paraId="3B2BC3B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2.2 实时质控</w:t>
            </w:r>
          </w:p>
          <w:p w14:paraId="18FF684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与门诊电子病历系统对接获取数据时，对数据实时进行质控返回至门诊系统，便于医生及时查阅进行修改。</w:t>
            </w:r>
          </w:p>
          <w:p w14:paraId="1950DCE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2.3 单份质控</w:t>
            </w:r>
          </w:p>
          <w:p w14:paraId="4C76F45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质控员可对每一份诊疗信息页进行审核质控，质控结果统一展示于数据右侧，并用红色框标识定位问题所在，便于用户快速找到进行整改。医生可通过条件查询，对某份诊疗信息页进行修改保存时，系统同步对单份数据进行质控，展现质控结果便于医生修改诊疗信息页数据。</w:t>
            </w:r>
          </w:p>
          <w:p w14:paraId="0A87B12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2.4 统一质控</w:t>
            </w:r>
          </w:p>
          <w:p w14:paraId="12A3E3F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质控员可对当月或本周或当日的门诊诊疗信息页数据统一进行质控，可点击质控结果跳转至相应门诊诊疗信息页查阅并按照质控规则修改数据。亦或可将质控结果导出给相应科室主任，由主任告知医生进行整改。</w:t>
            </w:r>
          </w:p>
          <w:p w14:paraId="346D101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2.5 质控抽检</w:t>
            </w:r>
          </w:p>
          <w:p w14:paraId="570EECE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1）设置抽检规则</w:t>
            </w:r>
          </w:p>
          <w:p w14:paraId="72A3AD7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用户根据诊断、主诉关键词、就诊医师、就诊科室等来设定抽检规则，系统可据此规则生成质控任务。</w:t>
            </w:r>
          </w:p>
          <w:p w14:paraId="0C41992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2）质控员质控</w:t>
            </w:r>
          </w:p>
          <w:p w14:paraId="4B9C28C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质控员按照质控任务的顺序对门诊诊疗信息页进行质控，记录质控结果。</w:t>
            </w:r>
          </w:p>
          <w:p w14:paraId="40D5576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3）质控反馈</w:t>
            </w:r>
          </w:p>
          <w:p w14:paraId="5387B11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系统将质控结果实时发送至门诊电子病历系统，由医生进行确认并对诊疗信息页数据进行整改。</w:t>
            </w:r>
          </w:p>
          <w:p w14:paraId="17A26813">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4）质控报表</w:t>
            </w:r>
          </w:p>
          <w:p w14:paraId="4C7F5FC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呈现质控员抽检份数、抽检百分比、合格份数、合格率，直观展现质控员工作量与诊疗信息页数据质量情况。</w:t>
            </w:r>
          </w:p>
          <w:p w14:paraId="4D89CB4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3、信息页归档</w:t>
            </w:r>
          </w:p>
          <w:p w14:paraId="3A47496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3.1 信息页归档</w:t>
            </w:r>
          </w:p>
          <w:p w14:paraId="5BD8485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归档分为系统归档和用户手动归档。</w:t>
            </w:r>
          </w:p>
          <w:p w14:paraId="135B18F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院方可设定患者就诊或诊疗结算后多少时间进行系统自动归档。同时可设定信息页回退后，若医生没有主动手动归档，则多长时间进行系统自动归档。</w:t>
            </w:r>
          </w:p>
          <w:p w14:paraId="28DA089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系统支持用户进行手动归档，归档代表这份诊疗信息页不再修改。</w:t>
            </w:r>
          </w:p>
          <w:p w14:paraId="4F882D3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3.2 信息页回退</w:t>
            </w:r>
          </w:p>
          <w:p w14:paraId="363AB4A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质控员质控诊疗信息页时发现存在问题，可同时进行信息页回退，让医生在医生站确认并修改相应问题后进行手动归档。</w:t>
            </w:r>
          </w:p>
          <w:p w14:paraId="05321EB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4、数据上报</w:t>
            </w:r>
          </w:p>
          <w:p w14:paraId="6ED0884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4.1 字典映射</w:t>
            </w:r>
          </w:p>
          <w:p w14:paraId="5109D28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对系统的使用过的字典值与上报端提供的标准字典进行映射，系统根据此映射关系进行映射后生成上报数据。</w:t>
            </w:r>
          </w:p>
          <w:p w14:paraId="00DF70A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4.2 模拟规则维护</w:t>
            </w:r>
          </w:p>
          <w:p w14:paraId="16F23D3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由于各平台规则与字典存在差异，需要分别维护不同平台规则以进行模拟校验。</w:t>
            </w:r>
          </w:p>
          <w:p w14:paraId="662352C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4.3 模拟质控</w:t>
            </w:r>
          </w:p>
          <w:p w14:paraId="742C766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数据转换上报前按照平台的规则与字典进行模拟质控。</w:t>
            </w:r>
          </w:p>
          <w:p w14:paraId="68C7FDA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4.4 数据上报</w:t>
            </w:r>
          </w:p>
          <w:p w14:paraId="5B59CEA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支持按照各上报平台要求一键生成数据进行上报。</w:t>
            </w:r>
          </w:p>
          <w:p w14:paraId="1F5982E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5、数据查询</w:t>
            </w:r>
          </w:p>
          <w:p w14:paraId="47FEE40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数据查询模块可以根据信息页的相关数据进行患者数据查询，主要是患者基本信息、诊疗过程信息等的查询。查询到的数据可以进行选择，然后对选择的数据导出等操作。</w:t>
            </w:r>
          </w:p>
          <w:p w14:paraId="187DD44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6、统计分析</w:t>
            </w:r>
          </w:p>
          <w:p w14:paraId="551B1C6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各科室各医师工作量进行统计，了解各科室人员工作情况，有针对性地进行配置；对急诊相关进行统计分析，了解急诊候诊时长、人员去向、分级人数，对急诊哪方面投入资源提供数据支撑；对患者患者现住址分布数据进行统计，了解患者来源地区分布情况，为宣传、义诊等投入提供数据支撑。</w:t>
            </w:r>
          </w:p>
          <w:p w14:paraId="4D6DED11">
            <w:pPr>
              <w:jc w:val="left"/>
              <w:rPr>
                <w:rFonts w:hint="eastAsia" w:ascii="宋体" w:hAnsi="宋体" w:eastAsia="宋体" w:cs="宋体"/>
                <w:color w:val="000000"/>
                <w:sz w:val="30"/>
                <w:szCs w:val="30"/>
              </w:rPr>
            </w:pPr>
          </w:p>
          <w:p w14:paraId="02AB9388">
            <w:pPr>
              <w:jc w:val="left"/>
              <w:rPr>
                <w:rFonts w:ascii="宋体" w:hAnsi="宋体" w:eastAsia="宋体" w:cs="宋体"/>
                <w:b/>
                <w:bCs/>
                <w:color w:val="000000"/>
                <w:sz w:val="30"/>
                <w:szCs w:val="30"/>
              </w:rPr>
            </w:pPr>
            <w:r>
              <w:rPr>
                <w:rFonts w:hint="eastAsia" w:ascii="宋体" w:hAnsi="宋体" w:eastAsia="宋体" w:cs="宋体"/>
                <w:b/>
                <w:bCs/>
                <w:color w:val="000000"/>
                <w:sz w:val="30"/>
                <w:szCs w:val="30"/>
              </w:rPr>
              <w:t>十七、满意度调查系统接口</w:t>
            </w:r>
          </w:p>
          <w:p w14:paraId="313637A1">
            <w:pPr>
              <w:jc w:val="left"/>
              <w:rPr>
                <w:rFonts w:ascii="宋体" w:hAnsi="宋体" w:eastAsia="宋体" w:cs="宋体"/>
                <w:color w:val="000000"/>
                <w:sz w:val="30"/>
                <w:szCs w:val="30"/>
              </w:rPr>
            </w:pPr>
            <w:r>
              <w:rPr>
                <w:rFonts w:ascii="宋体" w:hAnsi="宋体" w:eastAsia="宋体" w:cs="宋体"/>
                <w:color w:val="000000"/>
                <w:sz w:val="30"/>
                <w:szCs w:val="30"/>
              </w:rPr>
              <w:t>1</w:t>
            </w:r>
            <w:r>
              <w:rPr>
                <w:rFonts w:hint="eastAsia" w:ascii="宋体" w:hAnsi="宋体" w:eastAsia="宋体" w:cs="宋体"/>
                <w:color w:val="000000"/>
                <w:sz w:val="30"/>
                <w:szCs w:val="30"/>
              </w:rPr>
              <w:t>、</w:t>
            </w:r>
            <w:r>
              <w:rPr>
                <w:rFonts w:ascii="宋体" w:hAnsi="宋体" w:eastAsia="宋体" w:cs="宋体"/>
                <w:color w:val="000000"/>
                <w:sz w:val="30"/>
                <w:szCs w:val="30"/>
              </w:rPr>
              <w:t>个人就诊信息查询服务修改</w:t>
            </w:r>
            <w:r>
              <w:rPr>
                <w:rFonts w:hint="eastAsia" w:ascii="宋体" w:hAnsi="宋体" w:eastAsia="宋体" w:cs="宋体"/>
                <w:color w:val="000000"/>
                <w:sz w:val="30"/>
                <w:szCs w:val="30"/>
              </w:rPr>
              <w:t>；</w:t>
            </w:r>
          </w:p>
          <w:p w14:paraId="414E0728">
            <w:pPr>
              <w:jc w:val="left"/>
              <w:rPr>
                <w:rFonts w:hint="eastAsia" w:ascii="宋体" w:hAnsi="宋体" w:eastAsia="宋体" w:cs="宋体"/>
                <w:color w:val="000000"/>
                <w:sz w:val="30"/>
                <w:szCs w:val="30"/>
                <w:lang w:eastAsia="zh-CN"/>
              </w:rPr>
            </w:pPr>
            <w:r>
              <w:rPr>
                <w:rFonts w:ascii="宋体" w:hAnsi="宋体" w:eastAsia="宋体" w:cs="宋体"/>
                <w:color w:val="000000"/>
                <w:sz w:val="30"/>
                <w:szCs w:val="30"/>
              </w:rPr>
              <w:t>2</w:t>
            </w:r>
            <w:r>
              <w:rPr>
                <w:rFonts w:hint="eastAsia" w:ascii="宋体" w:hAnsi="宋体" w:eastAsia="宋体" w:cs="宋体"/>
                <w:color w:val="000000"/>
                <w:sz w:val="30"/>
                <w:szCs w:val="30"/>
              </w:rPr>
              <w:t>、</w:t>
            </w:r>
            <w:r>
              <w:rPr>
                <w:rFonts w:ascii="宋体" w:hAnsi="宋体" w:eastAsia="宋体" w:cs="宋体"/>
                <w:color w:val="000000"/>
                <w:sz w:val="30"/>
                <w:szCs w:val="30"/>
              </w:rPr>
              <w:t>新增诊断字典查询接口</w:t>
            </w:r>
            <w:r>
              <w:rPr>
                <w:rFonts w:hint="eastAsia" w:ascii="宋体" w:hAnsi="宋体" w:eastAsia="宋体" w:cs="宋体"/>
                <w:color w:val="000000"/>
                <w:sz w:val="30"/>
                <w:szCs w:val="30"/>
                <w:lang w:eastAsia="zh-CN"/>
              </w:rPr>
              <w:t>。</w:t>
            </w:r>
          </w:p>
          <w:p w14:paraId="2AC265D7">
            <w:pPr>
              <w:jc w:val="left"/>
              <w:rPr>
                <w:rFonts w:hint="eastAsia" w:ascii="宋体" w:hAnsi="宋体" w:eastAsia="宋体" w:cs="宋体"/>
                <w:color w:val="000000"/>
                <w:sz w:val="30"/>
                <w:szCs w:val="30"/>
                <w:lang w:eastAsia="zh-CN"/>
              </w:rPr>
            </w:pPr>
          </w:p>
          <w:p w14:paraId="1F6CDD56">
            <w:pPr>
              <w:jc w:val="left"/>
              <w:rPr>
                <w:rFonts w:ascii="宋体" w:hAnsi="宋体" w:eastAsia="宋体" w:cs="宋体"/>
                <w:b/>
                <w:bCs/>
                <w:color w:val="000000"/>
                <w:sz w:val="30"/>
                <w:szCs w:val="30"/>
              </w:rPr>
            </w:pPr>
            <w:r>
              <w:rPr>
                <w:rFonts w:hint="eastAsia" w:ascii="宋体" w:hAnsi="宋体" w:eastAsia="宋体" w:cs="宋体"/>
                <w:b/>
                <w:bCs/>
                <w:color w:val="000000"/>
                <w:sz w:val="30"/>
                <w:szCs w:val="30"/>
              </w:rPr>
              <w:t>十八、重症系统数据中台接口</w:t>
            </w:r>
          </w:p>
          <w:p w14:paraId="13E77BA5">
            <w:pPr>
              <w:jc w:val="left"/>
              <w:rPr>
                <w:rFonts w:ascii="宋体" w:hAnsi="宋体" w:eastAsia="宋体" w:cs="宋体"/>
                <w:color w:val="000000"/>
                <w:sz w:val="30"/>
                <w:szCs w:val="30"/>
              </w:rPr>
            </w:pPr>
            <w:r>
              <w:rPr>
                <w:rFonts w:hint="eastAsia" w:ascii="宋体" w:hAnsi="宋体" w:eastAsia="宋体" w:cs="宋体"/>
                <w:color w:val="000000"/>
                <w:sz w:val="30"/>
                <w:szCs w:val="30"/>
              </w:rPr>
              <w:t>1、实现</w:t>
            </w:r>
            <w:r>
              <w:rPr>
                <w:rFonts w:ascii="宋体" w:hAnsi="宋体" w:eastAsia="宋体" w:cs="宋体"/>
                <w:color w:val="000000"/>
                <w:sz w:val="30"/>
                <w:szCs w:val="30"/>
              </w:rPr>
              <w:t>HIS系统</w:t>
            </w:r>
            <w:r>
              <w:rPr>
                <w:rFonts w:hint="eastAsia" w:ascii="宋体" w:hAnsi="宋体" w:eastAsia="宋体" w:cs="宋体"/>
                <w:color w:val="000000"/>
                <w:sz w:val="30"/>
                <w:szCs w:val="30"/>
              </w:rPr>
              <w:t>用户</w:t>
            </w:r>
            <w:r>
              <w:rPr>
                <w:rFonts w:ascii="宋体" w:hAnsi="宋体" w:eastAsia="宋体" w:cs="宋体"/>
                <w:color w:val="000000"/>
                <w:sz w:val="30"/>
                <w:szCs w:val="30"/>
              </w:rPr>
              <w:t>账号信息</w:t>
            </w:r>
            <w:r>
              <w:rPr>
                <w:rFonts w:hint="eastAsia" w:ascii="宋体" w:hAnsi="宋体" w:eastAsia="宋体" w:cs="宋体"/>
                <w:color w:val="000000"/>
                <w:sz w:val="30"/>
                <w:szCs w:val="30"/>
              </w:rPr>
              <w:t>交互；</w:t>
            </w:r>
          </w:p>
          <w:p w14:paraId="63B339F3">
            <w:pPr>
              <w:jc w:val="left"/>
              <w:rPr>
                <w:rFonts w:ascii="宋体" w:hAnsi="宋体" w:eastAsia="宋体" w:cs="宋体"/>
                <w:color w:val="000000"/>
                <w:sz w:val="30"/>
                <w:szCs w:val="30"/>
              </w:rPr>
            </w:pPr>
            <w:r>
              <w:rPr>
                <w:rFonts w:hint="eastAsia" w:ascii="宋体" w:hAnsi="宋体" w:eastAsia="宋体" w:cs="宋体"/>
                <w:color w:val="000000"/>
                <w:sz w:val="30"/>
                <w:szCs w:val="30"/>
              </w:rPr>
              <w:t>2、实现患者信息交互，</w:t>
            </w:r>
            <w:r>
              <w:rPr>
                <w:rFonts w:ascii="宋体" w:hAnsi="宋体" w:eastAsia="宋体" w:cs="宋体"/>
                <w:color w:val="000000"/>
                <w:sz w:val="30"/>
                <w:szCs w:val="30"/>
              </w:rPr>
              <w:t>患者信息为重症医学科住院患者的基本信息（包括患者姓名、性别、出生日期、联系人等）、住院信息（包括病区号码、床位信息、住院号、流水号等）、医务人员（医疗组长、主管医生、护士长及主管护士）以及出科信息（出科时间，转归情况、转往科室等）</w:t>
            </w:r>
            <w:r>
              <w:rPr>
                <w:rFonts w:hint="eastAsia" w:ascii="宋体" w:hAnsi="宋体" w:eastAsia="宋体" w:cs="宋体"/>
                <w:color w:val="000000"/>
                <w:sz w:val="30"/>
                <w:szCs w:val="30"/>
              </w:rPr>
              <w:t>；</w:t>
            </w:r>
          </w:p>
          <w:p w14:paraId="6312372F">
            <w:pPr>
              <w:jc w:val="left"/>
              <w:rPr>
                <w:rFonts w:ascii="宋体" w:hAnsi="宋体" w:eastAsia="宋体" w:cs="宋体"/>
                <w:color w:val="000000"/>
                <w:sz w:val="30"/>
                <w:szCs w:val="30"/>
              </w:rPr>
            </w:pPr>
            <w:r>
              <w:rPr>
                <w:rFonts w:hint="eastAsia" w:ascii="宋体" w:hAnsi="宋体" w:eastAsia="宋体" w:cs="宋体"/>
                <w:color w:val="000000"/>
                <w:sz w:val="30"/>
                <w:szCs w:val="30"/>
              </w:rPr>
              <w:t>3、实现</w:t>
            </w:r>
            <w:r>
              <w:rPr>
                <w:rFonts w:ascii="宋体" w:hAnsi="宋体" w:eastAsia="宋体" w:cs="宋体"/>
                <w:color w:val="000000"/>
                <w:sz w:val="30"/>
                <w:szCs w:val="30"/>
              </w:rPr>
              <w:t>医生开具医嘱并且经过护士确认后的医嘱数据</w:t>
            </w:r>
            <w:r>
              <w:rPr>
                <w:rFonts w:hint="eastAsia" w:ascii="宋体" w:hAnsi="宋体" w:eastAsia="宋体" w:cs="宋体"/>
                <w:color w:val="000000"/>
                <w:sz w:val="30"/>
                <w:szCs w:val="30"/>
              </w:rPr>
              <w:t>交互；</w:t>
            </w:r>
          </w:p>
          <w:p w14:paraId="169F4891">
            <w:pPr>
              <w:jc w:val="left"/>
              <w:rPr>
                <w:rFonts w:ascii="宋体" w:hAnsi="宋体" w:eastAsia="宋体" w:cs="宋体"/>
                <w:color w:val="000000"/>
                <w:sz w:val="30"/>
                <w:szCs w:val="30"/>
              </w:rPr>
            </w:pPr>
            <w:r>
              <w:rPr>
                <w:rFonts w:hint="eastAsia" w:ascii="宋体" w:hAnsi="宋体" w:eastAsia="宋体" w:cs="宋体"/>
                <w:color w:val="000000"/>
                <w:sz w:val="30"/>
                <w:szCs w:val="30"/>
              </w:rPr>
              <w:t>4、实现</w:t>
            </w:r>
            <w:r>
              <w:rPr>
                <w:rFonts w:ascii="宋体" w:hAnsi="宋体" w:eastAsia="宋体" w:cs="宋体"/>
                <w:color w:val="000000"/>
                <w:sz w:val="30"/>
                <w:szCs w:val="30"/>
              </w:rPr>
              <w:t>检查检查包括检验报告（来源于LIS系统），检查报告（来源于RIS、心电图系统、超声系统及病理系统等）</w:t>
            </w:r>
            <w:r>
              <w:rPr>
                <w:rFonts w:hint="eastAsia" w:ascii="宋体" w:hAnsi="宋体" w:eastAsia="宋体" w:cs="宋体"/>
                <w:color w:val="000000"/>
                <w:sz w:val="30"/>
                <w:szCs w:val="30"/>
              </w:rPr>
              <w:t>的数据交互；</w:t>
            </w:r>
          </w:p>
          <w:p w14:paraId="33CFB9F6">
            <w:pPr>
              <w:jc w:val="left"/>
              <w:rPr>
                <w:rFonts w:ascii="宋体" w:hAnsi="宋体" w:eastAsia="宋体" w:cs="宋体"/>
                <w:color w:val="000000"/>
                <w:sz w:val="30"/>
                <w:szCs w:val="30"/>
              </w:rPr>
            </w:pPr>
            <w:r>
              <w:rPr>
                <w:rFonts w:hint="eastAsia" w:ascii="宋体" w:hAnsi="宋体" w:eastAsia="宋体" w:cs="宋体"/>
                <w:color w:val="000000"/>
                <w:sz w:val="30"/>
                <w:szCs w:val="30"/>
              </w:rPr>
              <w:t>5、实现其他数据交互，主要包括</w:t>
            </w:r>
            <w:r>
              <w:rPr>
                <w:rFonts w:ascii="宋体" w:hAnsi="宋体" w:eastAsia="宋体" w:cs="宋体"/>
                <w:color w:val="000000"/>
                <w:sz w:val="30"/>
                <w:szCs w:val="30"/>
              </w:rPr>
              <w:t>与三方系统的交互数据，包括体温单的回传、患者360视图集成，无纸化CA集成、血糖系统的集成。</w:t>
            </w:r>
          </w:p>
          <w:p w14:paraId="16C86D79">
            <w:pPr>
              <w:jc w:val="left"/>
              <w:rPr>
                <w:rFonts w:hint="eastAsia" w:ascii="宋体" w:hAnsi="宋体" w:eastAsia="宋体" w:cs="宋体"/>
                <w:color w:val="000000"/>
                <w:sz w:val="30"/>
                <w:szCs w:val="30"/>
              </w:rPr>
            </w:pPr>
          </w:p>
          <w:p w14:paraId="6C6EA7D1">
            <w:pPr>
              <w:jc w:val="left"/>
              <w:rPr>
                <w:rFonts w:ascii="宋体" w:hAnsi="宋体" w:eastAsia="宋体" w:cs="宋体"/>
                <w:b/>
                <w:bCs/>
                <w:color w:val="000000"/>
                <w:sz w:val="30"/>
                <w:szCs w:val="30"/>
              </w:rPr>
            </w:pPr>
            <w:r>
              <w:rPr>
                <w:rFonts w:hint="eastAsia" w:ascii="宋体" w:hAnsi="宋体" w:eastAsia="宋体" w:cs="宋体"/>
                <w:b/>
                <w:bCs/>
                <w:color w:val="000000"/>
                <w:sz w:val="30"/>
                <w:szCs w:val="30"/>
              </w:rPr>
              <w:t>十九、影像云平台接口及保健服务</w:t>
            </w:r>
          </w:p>
          <w:p w14:paraId="3A0455C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1、实现</w:t>
            </w:r>
            <w:r>
              <w:rPr>
                <w:rFonts w:ascii="宋体" w:hAnsi="宋体" w:eastAsia="宋体" w:cs="宋体"/>
                <w:color w:val="000000"/>
                <w:sz w:val="30"/>
                <w:szCs w:val="30"/>
              </w:rPr>
              <w:t>药量信息明细数据</w:t>
            </w:r>
            <w:r>
              <w:rPr>
                <w:rFonts w:hint="eastAsia" w:ascii="宋体" w:hAnsi="宋体" w:eastAsia="宋体" w:cs="宋体"/>
                <w:color w:val="000000"/>
                <w:sz w:val="30"/>
                <w:szCs w:val="30"/>
              </w:rPr>
              <w:t>交互；</w:t>
            </w:r>
          </w:p>
          <w:p w14:paraId="042A24F1">
            <w:pPr>
              <w:jc w:val="left"/>
              <w:rPr>
                <w:rFonts w:hint="eastAsia" w:ascii="宋体" w:hAnsi="宋体" w:eastAsia="宋体" w:cs="宋体"/>
                <w:color w:val="000000"/>
                <w:sz w:val="30"/>
                <w:szCs w:val="30"/>
                <w:lang w:eastAsia="zh-CN"/>
              </w:rPr>
            </w:pPr>
            <w:r>
              <w:rPr>
                <w:rFonts w:hint="eastAsia" w:ascii="宋体" w:hAnsi="宋体" w:eastAsia="宋体" w:cs="宋体"/>
                <w:color w:val="000000"/>
                <w:sz w:val="30"/>
                <w:szCs w:val="30"/>
              </w:rPr>
              <w:t>2、实现</w:t>
            </w:r>
            <w:r>
              <w:rPr>
                <w:rFonts w:ascii="宋体" w:hAnsi="宋体" w:eastAsia="宋体" w:cs="宋体"/>
                <w:color w:val="000000"/>
                <w:sz w:val="30"/>
                <w:szCs w:val="30"/>
              </w:rPr>
              <w:t>药量汇总和剩余药量信息</w:t>
            </w:r>
            <w:r>
              <w:rPr>
                <w:rFonts w:hint="eastAsia" w:ascii="宋体" w:hAnsi="宋体" w:eastAsia="宋体" w:cs="宋体"/>
                <w:color w:val="000000"/>
                <w:sz w:val="30"/>
                <w:szCs w:val="30"/>
              </w:rPr>
              <w:t>数据交互</w:t>
            </w:r>
            <w:r>
              <w:rPr>
                <w:rFonts w:hint="eastAsia" w:ascii="宋体" w:hAnsi="宋体" w:eastAsia="宋体" w:cs="宋体"/>
                <w:color w:val="000000"/>
                <w:sz w:val="30"/>
                <w:szCs w:val="30"/>
                <w:lang w:eastAsia="zh-CN"/>
              </w:rPr>
              <w:t>。</w:t>
            </w:r>
          </w:p>
          <w:p w14:paraId="277ACF46">
            <w:pPr>
              <w:jc w:val="left"/>
              <w:rPr>
                <w:rFonts w:hint="eastAsia" w:ascii="宋体" w:hAnsi="宋体" w:eastAsia="宋体" w:cs="宋体"/>
                <w:color w:val="000000"/>
                <w:sz w:val="30"/>
                <w:szCs w:val="30"/>
                <w:lang w:eastAsia="zh-CN"/>
              </w:rPr>
            </w:pPr>
          </w:p>
          <w:p w14:paraId="3C59E124">
            <w:pPr>
              <w:jc w:val="left"/>
              <w:rPr>
                <w:rFonts w:ascii="宋体" w:hAnsi="宋体" w:eastAsia="宋体" w:cs="宋体"/>
                <w:b/>
                <w:bCs/>
                <w:color w:val="000000"/>
                <w:sz w:val="30"/>
                <w:szCs w:val="30"/>
              </w:rPr>
            </w:pPr>
            <w:r>
              <w:rPr>
                <w:rFonts w:hint="eastAsia" w:ascii="宋体" w:hAnsi="宋体" w:eastAsia="宋体" w:cs="宋体"/>
                <w:b/>
                <w:bCs/>
                <w:color w:val="000000"/>
                <w:sz w:val="30"/>
                <w:szCs w:val="30"/>
              </w:rPr>
              <w:t>二十、一码通接口</w:t>
            </w:r>
          </w:p>
          <w:p w14:paraId="2AF4D78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1、配置入住供货商厂家配置</w:t>
            </w:r>
          </w:p>
          <w:p w14:paraId="0DFE173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2、获取上游厂家出库数据</w:t>
            </w:r>
          </w:p>
          <w:p w14:paraId="67CC538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3、按3.2.10接口数据生成院内入库单</w:t>
            </w:r>
          </w:p>
          <w:p w14:paraId="24ADE3C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4、医疗机构上传出入库数据</w:t>
            </w:r>
          </w:p>
          <w:p w14:paraId="3E08DCF4">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5、按上游单据状态下载最小追溯码</w:t>
            </w:r>
          </w:p>
          <w:p w14:paraId="7511604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6、退货单据上传一码通</w:t>
            </w:r>
          </w:p>
          <w:p w14:paraId="0645428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7、院内退货业务处理</w:t>
            </w:r>
          </w:p>
          <w:p w14:paraId="05AE5751">
            <w:pPr>
              <w:jc w:val="left"/>
              <w:rPr>
                <w:rFonts w:hint="eastAsia" w:ascii="宋体" w:hAnsi="宋体" w:eastAsia="宋体" w:cs="宋体"/>
                <w:color w:val="000000"/>
                <w:sz w:val="30"/>
                <w:szCs w:val="30"/>
              </w:rPr>
            </w:pPr>
          </w:p>
          <w:p w14:paraId="41E92C88">
            <w:pPr>
              <w:jc w:val="left"/>
              <w:rPr>
                <w:rFonts w:ascii="宋体" w:hAnsi="宋体" w:eastAsia="宋体" w:cs="宋体"/>
                <w:color w:val="000000"/>
                <w:sz w:val="30"/>
                <w:szCs w:val="30"/>
              </w:rPr>
            </w:pPr>
            <w:r>
              <w:rPr>
                <w:rFonts w:hint="eastAsia" w:ascii="宋体" w:hAnsi="宋体" w:eastAsia="宋体" w:cs="宋体"/>
                <w:b/>
                <w:bCs/>
                <w:color w:val="000000"/>
                <w:sz w:val="30"/>
                <w:szCs w:val="30"/>
              </w:rPr>
              <w:t>二十一、HIS系统现金调剂单功能改造</w:t>
            </w:r>
          </w:p>
          <w:p w14:paraId="393FD2F1">
            <w:pPr>
              <w:jc w:val="left"/>
              <w:rPr>
                <w:rFonts w:ascii="宋体" w:hAnsi="宋体" w:eastAsia="宋体" w:cs="宋体"/>
                <w:color w:val="000000"/>
                <w:sz w:val="30"/>
                <w:szCs w:val="30"/>
              </w:rPr>
            </w:pPr>
            <w:r>
              <w:rPr>
                <w:rFonts w:ascii="宋体" w:hAnsi="宋体" w:eastAsia="宋体" w:cs="宋体"/>
                <w:color w:val="000000"/>
                <w:sz w:val="30"/>
                <w:szCs w:val="30"/>
              </w:rPr>
              <w:t>1、为规范收费员借款，增加现金调剂功能，允许收费员通过系统上申请现金调剂，增加审批流。借款信息以备注方式体现在缴款表中，不参与应缴金额的计算。</w:t>
            </w:r>
          </w:p>
          <w:p w14:paraId="0BF28FBE">
            <w:pPr>
              <w:jc w:val="left"/>
              <w:rPr>
                <w:rFonts w:ascii="宋体" w:hAnsi="宋体" w:eastAsia="宋体" w:cs="宋体"/>
                <w:color w:val="000000"/>
                <w:sz w:val="30"/>
                <w:szCs w:val="30"/>
              </w:rPr>
            </w:pPr>
            <w:r>
              <w:rPr>
                <w:rFonts w:ascii="宋体" w:hAnsi="宋体" w:eastAsia="宋体" w:cs="宋体"/>
                <w:color w:val="000000"/>
                <w:sz w:val="30"/>
                <w:szCs w:val="30"/>
              </w:rPr>
              <w:t>2、审批流增加查询菜单，可以事后追溯。</w:t>
            </w:r>
          </w:p>
          <w:p w14:paraId="06AEB61E">
            <w:pPr>
              <w:jc w:val="left"/>
              <w:rPr>
                <w:rFonts w:ascii="宋体" w:hAnsi="宋体" w:eastAsia="宋体" w:cs="宋体"/>
                <w:color w:val="000000"/>
                <w:sz w:val="30"/>
                <w:szCs w:val="30"/>
              </w:rPr>
            </w:pPr>
            <w:r>
              <w:rPr>
                <w:rFonts w:ascii="宋体" w:hAnsi="宋体" w:eastAsia="宋体" w:cs="宋体"/>
                <w:color w:val="000000"/>
                <w:sz w:val="30"/>
                <w:szCs w:val="30"/>
              </w:rPr>
              <w:t>3、涉及该业务操作的记录，增加报表统计。</w:t>
            </w:r>
          </w:p>
          <w:p w14:paraId="59A6B3A3">
            <w:pPr>
              <w:jc w:val="left"/>
              <w:rPr>
                <w:rFonts w:hint="eastAsia" w:ascii="宋体" w:hAnsi="宋体" w:eastAsia="宋体" w:cs="宋体"/>
                <w:color w:val="000000"/>
                <w:sz w:val="30"/>
                <w:szCs w:val="30"/>
              </w:rPr>
            </w:pPr>
          </w:p>
          <w:p w14:paraId="43AF5220">
            <w:pPr>
              <w:jc w:val="lef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二十二、</w:t>
            </w:r>
            <w:bookmarkStart w:id="0" w:name="OLE_LINK4"/>
            <w:r>
              <w:rPr>
                <w:rFonts w:hint="eastAsia" w:ascii="宋体" w:hAnsi="宋体" w:eastAsia="宋体" w:cs="宋体"/>
                <w:b/>
                <w:bCs/>
                <w:color w:val="000000"/>
                <w:sz w:val="30"/>
                <w:szCs w:val="30"/>
              </w:rPr>
              <w:t>政策性接口全责任托管改造</w:t>
            </w:r>
          </w:p>
          <w:p w14:paraId="41D14E7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医院HIS系统每年需完成的政府指令性</w:t>
            </w:r>
            <w:bookmarkStart w:id="1" w:name="_GoBack"/>
            <w:r>
              <w:rPr>
                <w:rFonts w:hint="eastAsia" w:ascii="宋体" w:hAnsi="宋体" w:eastAsia="宋体" w:cs="宋体"/>
                <w:color w:val="auto"/>
                <w:sz w:val="30"/>
                <w:szCs w:val="30"/>
                <w:lang w:val="en-US" w:eastAsia="zh-CN"/>
              </w:rPr>
              <w:t>和自身需求</w:t>
            </w:r>
            <w:bookmarkEnd w:id="1"/>
            <w:r>
              <w:rPr>
                <w:rFonts w:hint="eastAsia" w:ascii="宋体" w:hAnsi="宋体" w:eastAsia="宋体" w:cs="宋体"/>
                <w:color w:val="000000"/>
                <w:sz w:val="30"/>
                <w:szCs w:val="30"/>
              </w:rPr>
              <w:t>接口改造数量众多，服务内容含HIS系统的接口改造、日常接口调试、新增功能调试、维护支持、故障响应等相关服务。具体内容包括：</w:t>
            </w:r>
          </w:p>
          <w:p w14:paraId="4F00B057">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（1）接口改造实施步骤</w:t>
            </w:r>
          </w:p>
          <w:p w14:paraId="6879E9B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1、和医院明确接口对接场景，确定实施范围。</w:t>
            </w:r>
          </w:p>
          <w:p w14:paraId="280747AE">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 xml:space="preserve">2、在规定时间内到达实施现场对软件产品进行安装调试； </w:t>
            </w:r>
          </w:p>
          <w:p w14:paraId="003E790D">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3、到改造现场部署测试环境。</w:t>
            </w:r>
          </w:p>
          <w:p w14:paraId="77B6A95B">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4、测试环境部署完毕后，测试联调，联调通过后正式库软件更新并部署环境。</w:t>
            </w:r>
          </w:p>
          <w:p w14:paraId="358C0CC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5、正式库在班外时间启用调试的接口功能，并测试一个病人走完全流程，测试通过，确认接口没有任何问题后可对外正式开通使用。</w:t>
            </w:r>
          </w:p>
          <w:p w14:paraId="58D24AB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6、正式启用后需要核对报表，查看报表金额是否正确，如果不正确继续调试工作直到相关报表正常无误。</w:t>
            </w:r>
          </w:p>
          <w:p w14:paraId="168918F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7、在接口正常工作后提供相关培训服务。</w:t>
            </w:r>
          </w:p>
          <w:p w14:paraId="248F5DFA">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8、上述工作全部完成，接口实施完毕。</w:t>
            </w:r>
          </w:p>
          <w:p w14:paraId="2B14F3AC">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（2）日常运维服务</w:t>
            </w:r>
          </w:p>
          <w:p w14:paraId="5DD4DBA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1、日常接口调试服务</w:t>
            </w:r>
          </w:p>
          <w:p w14:paraId="49FAC100">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在接口改造完成后，日常使用过程中如果出现问题，进行接口调试，故障排除。保证HIS系统与其他各系统的接口正常运行。</w:t>
            </w:r>
          </w:p>
          <w:p w14:paraId="33CAED19">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2、新增功能调试服务</w:t>
            </w:r>
          </w:p>
          <w:p w14:paraId="0AF6B898">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后续采购人有新增需求，需要改动相关接口，无偿提供接口调试修改服务，保障HIS系统与其他公司各系统的接口正常运行。</w:t>
            </w:r>
          </w:p>
          <w:p w14:paraId="361450E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3、维护支持服务</w:t>
            </w:r>
          </w:p>
          <w:p w14:paraId="44704B71">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维护支持服务期内，维护支持服务提供7×24小时电话、网络等远程支持服务及上门维护支持服务。投标人通过电话、网络等远程方式对接口改造内容使用过程中出现的一般性问题提供咨询解答。</w:t>
            </w:r>
          </w:p>
          <w:p w14:paraId="230AF742">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4、故障响应服务</w:t>
            </w:r>
          </w:p>
          <w:p w14:paraId="76BC6435">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对于严重级别故障，应立即派出高级技术人员到现场进行维修，与此同时，通过电话、网络等方式尝试排除故障；派出的高级技术人员在3小时内到达故障现场，在收到故障报告后6小时内恢复软件产品正常运行。</w:t>
            </w:r>
          </w:p>
          <w:p w14:paraId="46C54786">
            <w:pPr>
              <w:jc w:val="left"/>
              <w:rPr>
                <w:rFonts w:hint="eastAsia" w:ascii="宋体" w:hAnsi="宋体" w:eastAsia="宋体" w:cs="宋体"/>
                <w:color w:val="000000"/>
                <w:sz w:val="30"/>
                <w:szCs w:val="30"/>
              </w:rPr>
            </w:pPr>
            <w:r>
              <w:rPr>
                <w:rFonts w:hint="eastAsia" w:ascii="宋体" w:hAnsi="宋体" w:eastAsia="宋体" w:cs="宋体"/>
                <w:color w:val="000000"/>
                <w:sz w:val="30"/>
                <w:szCs w:val="30"/>
              </w:rPr>
              <w:t>对于一般级别故障，技术支持人员立即通过电话、网络等方式尝试排除故障；如故障在3小时内无法排除，立即派出高级技术人员在6小时内到达故障现场进行维修，在收到故障报告后12小时内恢复软件正常运行。</w:t>
            </w:r>
            <w:bookmarkEnd w:id="0"/>
          </w:p>
        </w:tc>
      </w:tr>
      <w:tr w14:paraId="037A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2284" w:type="dxa"/>
            <w:vAlign w:val="center"/>
          </w:tcPr>
          <w:p w14:paraId="1357A233">
            <w:pPr>
              <w:spacing w:line="360" w:lineRule="exact"/>
              <w:jc w:val="center"/>
              <w:rPr>
                <w:rFonts w:hint="eastAsia" w:ascii="宋体" w:hAnsi="宋体" w:eastAsia="宋体" w:cs="宋体"/>
                <w:color w:val="000000"/>
                <w:sz w:val="30"/>
                <w:szCs w:val="30"/>
              </w:rPr>
            </w:pPr>
            <w:r>
              <w:rPr>
                <w:rFonts w:hint="eastAsia" w:ascii="宋体" w:hAnsi="宋体" w:eastAsia="宋体" w:cs="宋体"/>
                <w:color w:val="000000"/>
                <w:sz w:val="30"/>
                <w:szCs w:val="30"/>
              </w:rPr>
              <w:t>使用科室</w:t>
            </w:r>
            <w:r>
              <w:rPr>
                <w:rFonts w:hint="eastAsia" w:ascii="宋体" w:hAnsi="宋体" w:eastAsia="宋体" w:cs="宋体"/>
                <w:color w:val="000000"/>
                <w:sz w:val="30"/>
                <w:szCs w:val="30"/>
              </w:rPr>
              <w:br w:type="textWrapping"/>
            </w:r>
            <w:r>
              <w:rPr>
                <w:rFonts w:hint="eastAsia" w:ascii="宋体" w:hAnsi="宋体" w:eastAsia="宋体" w:cs="宋体"/>
                <w:color w:val="000000"/>
                <w:sz w:val="30"/>
                <w:szCs w:val="30"/>
              </w:rPr>
              <w:t>制定需求并集体确认</w:t>
            </w:r>
          </w:p>
        </w:tc>
        <w:tc>
          <w:tcPr>
            <w:tcW w:w="6715" w:type="dxa"/>
            <w:vAlign w:val="center"/>
          </w:tcPr>
          <w:p w14:paraId="0A2758DD">
            <w:pPr>
              <w:jc w:val="center"/>
              <w:rPr>
                <w:rFonts w:hint="eastAsia" w:ascii="宋体" w:hAnsi="宋体" w:eastAsia="宋体" w:cs="宋体"/>
                <w:color w:val="000000"/>
                <w:sz w:val="30"/>
                <w:szCs w:val="30"/>
              </w:rPr>
            </w:pPr>
          </w:p>
        </w:tc>
      </w:tr>
      <w:tr w14:paraId="1800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2284" w:type="dxa"/>
            <w:vAlign w:val="center"/>
          </w:tcPr>
          <w:p w14:paraId="65C5AD9B">
            <w:pPr>
              <w:spacing w:line="360" w:lineRule="exact"/>
              <w:jc w:val="center"/>
              <w:rPr>
                <w:rFonts w:hint="eastAsia" w:ascii="宋体" w:hAnsi="宋体" w:eastAsia="宋体" w:cs="宋体"/>
                <w:color w:val="000000"/>
                <w:sz w:val="30"/>
                <w:szCs w:val="30"/>
              </w:rPr>
            </w:pPr>
            <w:r>
              <w:rPr>
                <w:rFonts w:hint="eastAsia" w:ascii="宋体" w:hAnsi="宋体" w:eastAsia="宋体" w:cs="宋体"/>
                <w:color w:val="000000"/>
                <w:sz w:val="30"/>
                <w:szCs w:val="30"/>
              </w:rPr>
              <w:t>信息工程师审核</w:t>
            </w:r>
          </w:p>
        </w:tc>
        <w:tc>
          <w:tcPr>
            <w:tcW w:w="6715" w:type="dxa"/>
            <w:vAlign w:val="center"/>
          </w:tcPr>
          <w:p w14:paraId="0143D10E">
            <w:pPr>
              <w:jc w:val="center"/>
              <w:rPr>
                <w:rFonts w:hint="eastAsia" w:ascii="宋体" w:hAnsi="宋体" w:eastAsia="宋体" w:cs="宋体"/>
                <w:color w:val="000000"/>
                <w:sz w:val="30"/>
                <w:szCs w:val="30"/>
              </w:rPr>
            </w:pPr>
          </w:p>
        </w:tc>
      </w:tr>
    </w:tbl>
    <w:p w14:paraId="13D289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096EA5"/>
    <w:multiLevelType w:val="singleLevel"/>
    <w:tmpl w:val="E9096EA5"/>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8F"/>
    <w:rsid w:val="00067669"/>
    <w:rsid w:val="000A42DD"/>
    <w:rsid w:val="00180F56"/>
    <w:rsid w:val="00195B81"/>
    <w:rsid w:val="001A384C"/>
    <w:rsid w:val="001E3C6F"/>
    <w:rsid w:val="00200A33"/>
    <w:rsid w:val="00265045"/>
    <w:rsid w:val="0026656C"/>
    <w:rsid w:val="00272C42"/>
    <w:rsid w:val="0028173E"/>
    <w:rsid w:val="002C3E22"/>
    <w:rsid w:val="002D6A46"/>
    <w:rsid w:val="002E07D3"/>
    <w:rsid w:val="002E315F"/>
    <w:rsid w:val="003256B6"/>
    <w:rsid w:val="003A3047"/>
    <w:rsid w:val="00416087"/>
    <w:rsid w:val="00443D25"/>
    <w:rsid w:val="0046314C"/>
    <w:rsid w:val="004713B5"/>
    <w:rsid w:val="0050391D"/>
    <w:rsid w:val="00507EC6"/>
    <w:rsid w:val="00520F51"/>
    <w:rsid w:val="005D109E"/>
    <w:rsid w:val="005F134B"/>
    <w:rsid w:val="00664510"/>
    <w:rsid w:val="00665661"/>
    <w:rsid w:val="006D72D8"/>
    <w:rsid w:val="0073390E"/>
    <w:rsid w:val="00733F6D"/>
    <w:rsid w:val="00736C27"/>
    <w:rsid w:val="0076722B"/>
    <w:rsid w:val="007E6482"/>
    <w:rsid w:val="00814267"/>
    <w:rsid w:val="00852EE0"/>
    <w:rsid w:val="008D2C55"/>
    <w:rsid w:val="00924AFD"/>
    <w:rsid w:val="009A4539"/>
    <w:rsid w:val="009A683D"/>
    <w:rsid w:val="009D226C"/>
    <w:rsid w:val="009F01D0"/>
    <w:rsid w:val="00A53CBD"/>
    <w:rsid w:val="00A9138F"/>
    <w:rsid w:val="00AC64F4"/>
    <w:rsid w:val="00B22E98"/>
    <w:rsid w:val="00BA321E"/>
    <w:rsid w:val="00BA67D5"/>
    <w:rsid w:val="00BC428D"/>
    <w:rsid w:val="00BE0CFA"/>
    <w:rsid w:val="00C207E2"/>
    <w:rsid w:val="00C26354"/>
    <w:rsid w:val="00C7103B"/>
    <w:rsid w:val="00C96520"/>
    <w:rsid w:val="00CC0337"/>
    <w:rsid w:val="00CF1A61"/>
    <w:rsid w:val="00D00064"/>
    <w:rsid w:val="00D03F41"/>
    <w:rsid w:val="00D25FF7"/>
    <w:rsid w:val="00D72EDA"/>
    <w:rsid w:val="00D82951"/>
    <w:rsid w:val="00DB30FD"/>
    <w:rsid w:val="00DF2365"/>
    <w:rsid w:val="00E012E3"/>
    <w:rsid w:val="00E4372A"/>
    <w:rsid w:val="00E51F9A"/>
    <w:rsid w:val="00E5375E"/>
    <w:rsid w:val="00E54698"/>
    <w:rsid w:val="00E87B9C"/>
    <w:rsid w:val="00EE7AF0"/>
    <w:rsid w:val="00F10A62"/>
    <w:rsid w:val="00F1668F"/>
    <w:rsid w:val="00F321A5"/>
    <w:rsid w:val="05D709B3"/>
    <w:rsid w:val="07395CFF"/>
    <w:rsid w:val="0E927B6D"/>
    <w:rsid w:val="14821692"/>
    <w:rsid w:val="1F6E3CDF"/>
    <w:rsid w:val="229A7B57"/>
    <w:rsid w:val="2D92328E"/>
    <w:rsid w:val="2EF27B0B"/>
    <w:rsid w:val="324F5469"/>
    <w:rsid w:val="349F18F7"/>
    <w:rsid w:val="35533053"/>
    <w:rsid w:val="3B0C28D2"/>
    <w:rsid w:val="3C945E6D"/>
    <w:rsid w:val="42DC77DF"/>
    <w:rsid w:val="560B59D8"/>
    <w:rsid w:val="5C6519EA"/>
    <w:rsid w:val="60033159"/>
    <w:rsid w:val="60C116AE"/>
    <w:rsid w:val="62D77FFB"/>
    <w:rsid w:val="63851D24"/>
    <w:rsid w:val="643C6CB2"/>
    <w:rsid w:val="65072E52"/>
    <w:rsid w:val="7A304F8E"/>
    <w:rsid w:val="7AF96CC7"/>
    <w:rsid w:val="7B3459C8"/>
    <w:rsid w:val="7ECC4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imes New Roman" w:hAnsi="Times New Roman" w:eastAsia="仿宋_GB2312" w:cs="Times New Roman"/>
      <w:kern w:val="2"/>
      <w:sz w:val="18"/>
      <w:szCs w:val="18"/>
    </w:rPr>
  </w:style>
  <w:style w:type="character" w:customStyle="1" w:styleId="8">
    <w:name w:val="页脚 字符"/>
    <w:basedOn w:val="6"/>
    <w:link w:val="2"/>
    <w:qFormat/>
    <w:uiPriority w:val="0"/>
    <w:rPr>
      <w:rFonts w:ascii="Times New Roman" w:hAnsi="Times New Roman" w:eastAsia="仿宋_GB2312" w:cs="Times New Roman"/>
      <w:kern w:val="2"/>
      <w:sz w:val="18"/>
      <w:szCs w:val="18"/>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6199</Words>
  <Characters>6344</Characters>
  <Lines>282</Lines>
  <Paragraphs>275</Paragraphs>
  <TotalTime>20</TotalTime>
  <ScaleCrop>false</ScaleCrop>
  <LinksUpToDate>false</LinksUpToDate>
  <CharactersWithSpaces>6394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2026-06-25T00:44:00Z</dcterms:created>
  <dc:creator>03505</dc:creator>
  <cp:lastModifiedBy>林昀</cp:lastModifiedBy>
  <dcterms:modified xsi:type="dcterms:W3CDTF">2026-08-06T01:55:02Z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eyJoZGlkIjoiMzJkYjc0MTI2MjcyNjc5NTE0MWEzZmNkOTRhZWRiNWMiLCJ1c2VySWQiOiIxNjM5NDI3NDUzIn0=</vt:lpwstr>
  </property>
  <property fmtid="{D5CDD505-2E9C-101B-9397-08002B2CF9AE}" pid="4" name="ICV">
    <vt:lpwstr>8E09B586294245E5BE0597E497A6F69E_12</vt:lpwstr>
  </property>
</Properties>
</file>