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BBBC6">
      <w:pPr>
        <w:jc w:val="center"/>
        <w:rPr>
          <w:rFonts w:hint="default" w:ascii="黑体" w:hAnsi="黑体" w:eastAsia="黑体" w:cs="黑体"/>
          <w:color w:val="00000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项目需求表</w:t>
      </w:r>
    </w:p>
    <w:tbl>
      <w:tblPr>
        <w:tblStyle w:val="6"/>
        <w:tblW w:w="8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6442"/>
      </w:tblGrid>
      <w:tr w14:paraId="25370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803" w:type="dxa"/>
            <w:noWrap w:val="0"/>
            <w:vAlign w:val="center"/>
          </w:tcPr>
          <w:p w14:paraId="46D65039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442" w:type="dxa"/>
            <w:noWrap w:val="0"/>
            <w:vAlign w:val="center"/>
          </w:tcPr>
          <w:p w14:paraId="1AE2F508">
            <w:pPr>
              <w:jc w:val="center"/>
              <w:rPr>
                <w:rFonts w:hint="default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/>
                <w:color w:val="000000"/>
                <w:sz w:val="30"/>
                <w:szCs w:val="30"/>
                <w:vertAlign w:val="baseline"/>
                <w:lang w:val="en-US" w:eastAsia="zh-CN"/>
              </w:rPr>
              <w:t>超融合及分布式存储维</w:t>
            </w:r>
            <w:bookmarkStart w:id="0" w:name="_GoBack"/>
            <w:bookmarkEnd w:id="0"/>
            <w:r>
              <w:rPr>
                <w:rFonts w:hint="default"/>
                <w:color w:val="000000"/>
                <w:sz w:val="30"/>
                <w:szCs w:val="30"/>
                <w:vertAlign w:val="baseline"/>
                <w:lang w:val="en-US" w:eastAsia="zh-CN"/>
              </w:rPr>
              <w:t>保（三年）</w:t>
            </w:r>
          </w:p>
        </w:tc>
      </w:tr>
      <w:tr w14:paraId="770A2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3" w:hRule="atLeast"/>
          <w:jc w:val="center"/>
        </w:trPr>
        <w:tc>
          <w:tcPr>
            <w:tcW w:w="8245" w:type="dxa"/>
            <w:gridSpan w:val="2"/>
            <w:noWrap w:val="0"/>
            <w:vAlign w:val="top"/>
          </w:tcPr>
          <w:p w14:paraId="65569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本项目为深信服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超融合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以及分布式存储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续保服务采购项目，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为保障存储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和服务器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架构持续可靠运行，需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维保服务，具体需求如下：</w:t>
            </w:r>
          </w:p>
          <w:p w14:paraId="3DBF25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硬件质保方面，针对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超融合服务器、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存储节点服务器、硬盘等关键硬件，需依托原厂质保服务实现故障部件快速更换，降低硬件老化导致的数据丢失或系统宕机风险；</w:t>
            </w:r>
          </w:p>
          <w:p w14:paraId="247C0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售后服务方面，需获得7×24小时技术支持响应，确保系统出现异常时能及时排查故障、恢复服务，同时通过定期巡检预判潜在问题，为医院信息系统稳定运行提供全周期保障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5775858D">
            <w:pPr>
              <w:pStyle w:val="12"/>
              <w:widowControl w:val="0"/>
              <w:wordWrap w:val="0"/>
              <w:spacing w:line="440" w:lineRule="exact"/>
              <w:jc w:val="both"/>
              <w:rPr>
                <w:rFonts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b/>
                <w:sz w:val="24"/>
                <w:szCs w:val="24"/>
                <w:lang w:eastAsia="zh-CN"/>
              </w:rPr>
              <w:t>过保设备明细：</w:t>
            </w:r>
          </w:p>
          <w:tbl>
            <w:tblPr>
              <w:tblStyle w:val="5"/>
              <w:tblW w:w="5205" w:type="pct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70"/>
              <w:gridCol w:w="1864"/>
              <w:gridCol w:w="1062"/>
              <w:gridCol w:w="1871"/>
              <w:gridCol w:w="2881"/>
            </w:tblGrid>
            <w:tr w14:paraId="25A071E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80" w:hRule="atLeast"/>
                <w:tblHeader/>
                <w:jc w:val="center"/>
              </w:trPr>
              <w:tc>
                <w:tcPr>
                  <w:tcW w:w="401" w:type="pct"/>
                  <w:noWrap w:val="0"/>
                  <w:tcMar>
                    <w:bottom w:w="0" w:type="dxa"/>
                  </w:tcMar>
                  <w:vAlign w:val="center"/>
                </w:tcPr>
                <w:p w14:paraId="154EBEE8">
                  <w:pPr>
                    <w:pStyle w:val="4"/>
                    <w:widowControl/>
                    <w:spacing w:beforeAutospacing="0" w:afterAutospacing="0" w:line="360" w:lineRule="auto"/>
                    <w:jc w:val="center"/>
                    <w:textAlignment w:val="center"/>
                    <w:rPr>
                      <w:rFonts w:ascii="宋体" w:hAnsi="宋体" w:cs="仿宋"/>
                    </w:rPr>
                  </w:pPr>
                  <w:r>
                    <w:rPr>
                      <w:rStyle w:val="8"/>
                      <w:rFonts w:hint="eastAsia" w:ascii="宋体" w:hAnsi="宋体" w:cs="仿宋"/>
                    </w:rPr>
                    <w:t>序号</w:t>
                  </w:r>
                </w:p>
              </w:tc>
              <w:tc>
                <w:tcPr>
                  <w:tcW w:w="1116" w:type="pct"/>
                  <w:noWrap w:val="0"/>
                  <w:tcMar>
                    <w:bottom w:w="0" w:type="dxa"/>
                  </w:tcMar>
                  <w:vAlign w:val="center"/>
                </w:tcPr>
                <w:p w14:paraId="1FB9D112">
                  <w:pPr>
                    <w:pStyle w:val="4"/>
                    <w:widowControl/>
                    <w:spacing w:beforeAutospacing="0" w:afterAutospacing="0" w:line="360" w:lineRule="auto"/>
                    <w:jc w:val="center"/>
                    <w:textAlignment w:val="center"/>
                    <w:rPr>
                      <w:rFonts w:ascii="宋体" w:hAnsi="宋体" w:cs="仿宋"/>
                    </w:rPr>
                  </w:pPr>
                  <w:r>
                    <w:rPr>
                      <w:rStyle w:val="8"/>
                      <w:rFonts w:hint="eastAsia" w:ascii="宋体" w:hAnsi="宋体" w:cs="仿宋"/>
                    </w:rPr>
                    <w:t>品名</w:t>
                  </w:r>
                </w:p>
              </w:tc>
              <w:tc>
                <w:tcPr>
                  <w:tcW w:w="636" w:type="pct"/>
                  <w:noWrap w:val="0"/>
                  <w:tcMar>
                    <w:bottom w:w="0" w:type="dxa"/>
                  </w:tcMar>
                  <w:vAlign w:val="center"/>
                </w:tcPr>
                <w:p w14:paraId="2E60D80C">
                  <w:pPr>
                    <w:pStyle w:val="4"/>
                    <w:widowControl/>
                    <w:spacing w:beforeAutospacing="0" w:afterAutospacing="0" w:line="360" w:lineRule="auto"/>
                    <w:jc w:val="center"/>
                    <w:textAlignment w:val="center"/>
                    <w:rPr>
                      <w:rFonts w:ascii="宋体" w:hAnsi="宋体" w:cs="仿宋"/>
                      <w:b/>
                      <w:bCs/>
                    </w:rPr>
                  </w:pPr>
                  <w:r>
                    <w:rPr>
                      <w:rFonts w:hint="eastAsia" w:ascii="宋体" w:hAnsi="宋体" w:cs="仿宋"/>
                      <w:b/>
                      <w:bCs/>
                    </w:rPr>
                    <w:t>设备类型</w:t>
                  </w:r>
                </w:p>
              </w:tc>
              <w:tc>
                <w:tcPr>
                  <w:tcW w:w="1120" w:type="pct"/>
                  <w:noWrap w:val="0"/>
                  <w:tcMar>
                    <w:bottom w:w="0" w:type="dxa"/>
                  </w:tcMar>
                  <w:vAlign w:val="center"/>
                </w:tcPr>
                <w:p w14:paraId="00DCEC68">
                  <w:pPr>
                    <w:pStyle w:val="4"/>
                    <w:widowControl/>
                    <w:spacing w:beforeAutospacing="0" w:afterAutospacing="0" w:line="360" w:lineRule="auto"/>
                    <w:jc w:val="center"/>
                    <w:textAlignment w:val="center"/>
                    <w:rPr>
                      <w:rFonts w:hint="default" w:ascii="宋体" w:hAnsi="宋体" w:eastAsia="宋体" w:cs="仿宋"/>
                      <w:b/>
                      <w:bCs/>
                      <w:lang w:val="en-US" w:eastAsia="zh-CN"/>
                    </w:rPr>
                  </w:pPr>
                  <w:r>
                    <w:rPr>
                      <w:rFonts w:hint="eastAsia" w:ascii="宋体" w:hAnsi="宋体" w:cs="仿宋"/>
                      <w:b/>
                      <w:bCs/>
                      <w:lang w:eastAsia="zh-CN"/>
                    </w:rPr>
                    <w:t>设备</w:t>
                  </w:r>
                  <w:r>
                    <w:rPr>
                      <w:rFonts w:hint="eastAsia" w:ascii="宋体" w:hAnsi="宋体" w:cs="仿宋"/>
                      <w:b/>
                      <w:bCs/>
                      <w:lang w:val="en-US" w:eastAsia="zh-CN"/>
                    </w:rPr>
                    <w:t>SN码</w:t>
                  </w:r>
                </w:p>
              </w:tc>
              <w:tc>
                <w:tcPr>
                  <w:tcW w:w="1725" w:type="pct"/>
                  <w:noWrap w:val="0"/>
                  <w:tcMar>
                    <w:bottom w:w="0" w:type="dxa"/>
                  </w:tcMar>
                  <w:vAlign w:val="center"/>
                </w:tcPr>
                <w:p w14:paraId="0505E9A5">
                  <w:pPr>
                    <w:pStyle w:val="4"/>
                    <w:widowControl/>
                    <w:spacing w:beforeAutospacing="0" w:afterAutospacing="0" w:line="360" w:lineRule="auto"/>
                    <w:jc w:val="center"/>
                    <w:textAlignment w:val="center"/>
                    <w:rPr>
                      <w:rFonts w:ascii="宋体" w:hAnsi="宋体" w:cs="仿宋"/>
                    </w:rPr>
                  </w:pPr>
                  <w:r>
                    <w:rPr>
                      <w:rFonts w:hint="eastAsia" w:ascii="宋体" w:hAnsi="宋体" w:cs="仿宋"/>
                      <w:b/>
                      <w:bCs/>
                    </w:rPr>
                    <w:t>主要服务内容</w:t>
                  </w:r>
                </w:p>
              </w:tc>
            </w:tr>
            <w:tr w14:paraId="34F7AE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172" w:hRule="atLeast"/>
                <w:jc w:val="center"/>
              </w:trPr>
              <w:tc>
                <w:tcPr>
                  <w:tcW w:w="401" w:type="pct"/>
                  <w:noWrap w:val="0"/>
                  <w:tcMar>
                    <w:bottom w:w="0" w:type="dxa"/>
                  </w:tcMar>
                  <w:vAlign w:val="center"/>
                </w:tcPr>
                <w:p w14:paraId="1BA1FD9C">
                  <w:pPr>
                    <w:pStyle w:val="4"/>
                    <w:widowControl/>
                    <w:spacing w:beforeAutospacing="0" w:afterAutospacing="0" w:line="360" w:lineRule="auto"/>
                    <w:jc w:val="center"/>
                    <w:textAlignment w:val="top"/>
                    <w:rPr>
                      <w:rFonts w:ascii="宋体" w:hAnsi="宋体" w:cs="仿宋"/>
                    </w:rPr>
                  </w:pPr>
                  <w:r>
                    <w:rPr>
                      <w:rFonts w:hint="eastAsia" w:ascii="宋体" w:hAnsi="宋体" w:cs="仿宋"/>
                    </w:rPr>
                    <w:t>1</w:t>
                  </w:r>
                </w:p>
              </w:tc>
              <w:tc>
                <w:tcPr>
                  <w:tcW w:w="1116" w:type="pct"/>
                  <w:noWrap w:val="0"/>
                  <w:tcMar>
                    <w:bottom w:w="0" w:type="dxa"/>
                  </w:tcMar>
                  <w:vAlign w:val="center"/>
                </w:tcPr>
                <w:p w14:paraId="5158C0F9">
                  <w:pPr>
                    <w:widowControl/>
                    <w:jc w:val="center"/>
                    <w:textAlignment w:val="center"/>
                    <w:rPr>
                      <w:rFonts w:hint="default" w:ascii="宋体" w:hAnsi="宋体" w:cs="仿宋"/>
                      <w:sz w:val="24"/>
                      <w:lang w:val="en-US"/>
                    </w:rPr>
                  </w:pPr>
                  <w:r>
                    <w:rPr>
                      <w:rFonts w:ascii="宋体" w:hAnsi="宋体" w:eastAsia="宋体" w:cs="宋体"/>
                      <w:sz w:val="24"/>
                      <w:szCs w:val="24"/>
                    </w:rPr>
                    <w:t>深信服</w:t>
                  </w:r>
                  <w:r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  <w:t>超融合</w:t>
                  </w:r>
                  <w:r>
                    <w:rPr>
                      <w:rFonts w:hint="eastAsia" w:ascii="宋体" w:hAnsi="宋体" w:cs="宋体"/>
                      <w:kern w:val="2"/>
                      <w:sz w:val="24"/>
                      <w:szCs w:val="24"/>
                      <w:lang w:val="en-US" w:eastAsia="zh-CN" w:bidi="ar-SA"/>
                    </w:rPr>
                    <w:t>服务器、分布式存储服务器</w:t>
                  </w:r>
                </w:p>
              </w:tc>
              <w:tc>
                <w:tcPr>
                  <w:tcW w:w="636" w:type="pct"/>
                  <w:noWrap w:val="0"/>
                  <w:tcMar>
                    <w:bottom w:w="0" w:type="dxa"/>
                  </w:tcMar>
                  <w:vAlign w:val="center"/>
                </w:tcPr>
                <w:p w14:paraId="6206565E">
                  <w:pPr>
                    <w:widowControl/>
                    <w:spacing w:line="360" w:lineRule="auto"/>
                    <w:jc w:val="center"/>
                    <w:textAlignment w:val="top"/>
                    <w:rPr>
                      <w:rFonts w:hint="default" w:ascii="宋体" w:hAnsi="宋体" w:eastAsia="宋体" w:cs="仿宋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cs="仿宋"/>
                      <w:kern w:val="0"/>
                      <w:sz w:val="24"/>
                      <w:lang w:val="en-US" w:eastAsia="zh-CN"/>
                    </w:rPr>
                    <w:t>服务器、存储设备</w:t>
                  </w:r>
                </w:p>
              </w:tc>
              <w:tc>
                <w:tcPr>
                  <w:tcW w:w="1120" w:type="pct"/>
                  <w:noWrap w:val="0"/>
                  <w:tcMar>
                    <w:bottom w:w="0" w:type="dxa"/>
                  </w:tcMar>
                  <w:vAlign w:val="center"/>
                </w:tcPr>
                <w:p w14:paraId="1B42D4F1">
                  <w:pPr>
                    <w:widowControl/>
                    <w:spacing w:line="360" w:lineRule="auto"/>
                    <w:jc w:val="center"/>
                    <w:textAlignment w:val="top"/>
                    <w:rPr>
                      <w:rFonts w:hint="eastAsia" w:ascii="宋体" w:hAnsi="宋体" w:cs="仿宋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cs="仿宋"/>
                      <w:kern w:val="0"/>
                      <w:sz w:val="24"/>
                      <w:lang w:eastAsia="zh-CN"/>
                    </w:rPr>
                    <w:t>FES4DDA256、FES4DDA308、F6H4CDB230、F6H4CDB237、F6H4CDB238、F6H4CDB236、F6H4CDB240、F6H4CDB221、F6H4CDB222、F6H4CDB232</w:t>
                  </w:r>
                </w:p>
              </w:tc>
              <w:tc>
                <w:tcPr>
                  <w:tcW w:w="1725" w:type="pct"/>
                  <w:noWrap w:val="0"/>
                  <w:tcMar>
                    <w:bottom w:w="0" w:type="dxa"/>
                  </w:tcMar>
                  <w:vAlign w:val="center"/>
                </w:tcPr>
                <w:p w14:paraId="78A79700">
                  <w:pPr>
                    <w:widowControl/>
                    <w:spacing w:line="360" w:lineRule="auto"/>
                    <w:jc w:val="center"/>
                    <w:textAlignment w:val="top"/>
                    <w:rPr>
                      <w:rFonts w:hint="eastAsia" w:ascii="宋体" w:hAnsi="宋体" w:eastAsia="宋体" w:cs="仿宋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cs="仿宋"/>
                      <w:sz w:val="24"/>
                      <w:lang w:eastAsia="zh-CN"/>
                    </w:rPr>
                    <w:t>硬件维保，故障保修服务</w:t>
                  </w:r>
                </w:p>
              </w:tc>
            </w:tr>
          </w:tbl>
          <w:p w14:paraId="1346EA43">
            <w:pPr>
              <w:pStyle w:val="4"/>
              <w:widowControl/>
              <w:spacing w:before="75" w:beforeAutospacing="0" w:after="75" w:afterAutospacing="0" w:line="360" w:lineRule="auto"/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lang w:val="en-US" w:eastAsia="zh-CN"/>
              </w:rPr>
              <w:t>1、</w:t>
            </w:r>
            <w:r>
              <w:rPr>
                <w:rFonts w:hint="eastAsia" w:ascii="宋体" w:hAnsi="宋体" w:cs="仿宋"/>
                <w:sz w:val="24"/>
              </w:rPr>
              <w:t>产品质保</w:t>
            </w:r>
            <w:r>
              <w:rPr>
                <w:rFonts w:hint="eastAsia" w:ascii="宋体" w:hAnsi="宋体" w:cs="仿宋"/>
                <w:sz w:val="24"/>
                <w:lang w:eastAsia="zh-CN"/>
              </w:rPr>
              <w:t>服务要求</w:t>
            </w:r>
            <w:r>
              <w:rPr>
                <w:rFonts w:hint="eastAsia" w:ascii="宋体" w:hAnsi="宋体" w:cs="仿宋"/>
                <w:sz w:val="24"/>
              </w:rPr>
              <w:t>：</w:t>
            </w:r>
            <w:r>
              <w:rPr>
                <w:rFonts w:hint="eastAsia" w:ascii="宋体" w:hAnsi="宋体" w:cs="仿宋"/>
                <w:sz w:val="24"/>
                <w:lang w:val="en-US" w:eastAsia="zh-CN"/>
              </w:rPr>
              <w:t>提供三年质保，</w:t>
            </w:r>
            <w:r>
              <w:rPr>
                <w:rFonts w:hint="eastAsia" w:ascii="宋体" w:hAnsi="宋体" w:cs="仿宋"/>
                <w:sz w:val="24"/>
              </w:rPr>
              <w:t>在硬件保修期内，对硬件产品整机给予保修</w:t>
            </w:r>
            <w:r>
              <w:rPr>
                <w:rFonts w:hint="eastAsia" w:ascii="宋体" w:hAnsi="宋体" w:cs="仿宋"/>
                <w:sz w:val="24"/>
                <w:lang w:eastAsia="zh-CN"/>
              </w:rPr>
              <w:t>，提供硬件设备故障返厂维修服务</w:t>
            </w:r>
          </w:p>
        </w:tc>
      </w:tr>
      <w:tr w14:paraId="70FAC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803" w:type="dxa"/>
            <w:noWrap w:val="0"/>
            <w:vAlign w:val="center"/>
          </w:tcPr>
          <w:p w14:paraId="74FE6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  <w:t>使用科室</w:t>
            </w: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  <w:t>制定需求并集体确认</w:t>
            </w:r>
          </w:p>
        </w:tc>
        <w:tc>
          <w:tcPr>
            <w:tcW w:w="6442" w:type="dxa"/>
            <w:noWrap w:val="0"/>
            <w:vAlign w:val="center"/>
          </w:tcPr>
          <w:p w14:paraId="3DBA6A68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2E12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803" w:type="dxa"/>
            <w:noWrap w:val="0"/>
            <w:vAlign w:val="center"/>
          </w:tcPr>
          <w:p w14:paraId="007E9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  <w:t>信息工程师审核</w:t>
            </w:r>
          </w:p>
        </w:tc>
        <w:tc>
          <w:tcPr>
            <w:tcW w:w="6442" w:type="dxa"/>
            <w:noWrap w:val="0"/>
            <w:vAlign w:val="center"/>
          </w:tcPr>
          <w:p w14:paraId="13A12F25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2D26FE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966CA"/>
    <w:rsid w:val="136904D7"/>
    <w:rsid w:val="4FEB61B3"/>
    <w:rsid w:val="6DB9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54A1" w:themeColor="accent1" w:themeShade="BF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rFonts w:ascii="Times New Roman" w:hAnsi="Times New Roman" w:eastAsia="宋体" w:cs="Times New Roman"/>
      <w:b/>
      <w:bCs/>
    </w:rPr>
  </w:style>
  <w:style w:type="paragraph" w:customStyle="1" w:styleId="9">
    <w:name w:val="表格文字"/>
    <w:basedOn w:val="1"/>
    <w:qFormat/>
    <w:uiPriority w:val="99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0">
    <w:name w:val="样式 标题 3 + (中文) 黑体 小四 非加粗 段前: 7.8 磅 段后: 0 磅 行距: 固定值 20 磅"/>
    <w:basedOn w:val="3"/>
    <w:qFormat/>
    <w:uiPriority w:val="0"/>
    <w:pPr>
      <w:spacing w:before="0" w:after="0" w:line="400" w:lineRule="exact"/>
    </w:pPr>
    <w:rPr>
      <w:rFonts w:ascii="Times New Roman" w:hAnsi="Times New Roman" w:eastAsia="黑体" w:cs="宋体"/>
      <w:kern w:val="2"/>
      <w:sz w:val="24"/>
      <w:szCs w:val="20"/>
    </w:rPr>
  </w:style>
  <w:style w:type="paragraph" w:styleId="1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2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29</Characters>
  <Lines>0</Lines>
  <Paragraphs>0</Paragraphs>
  <TotalTime>21</TotalTime>
  <ScaleCrop>false</ScaleCrop>
  <LinksUpToDate>false</LinksUpToDate>
  <CharactersWithSpaces>29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2026-09-02T01:37:00Z</dcterms:created>
  <dc:creator>吴灵菲</dc:creator>
  <cp:lastModifiedBy>吴灵菲</cp:lastModifiedBy>
  <cp:lastPrinted>2026-09-07T00:34:00Z</cp:lastPrinted>
  <dcterms:modified xsi:type="dcterms:W3CDTF">2026-09-09T00:24:10Z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9C7CD98CEB73429FBF4AFF7A37DA9877_13</vt:lpwstr>
  </property>
  <property fmtid="{D5CDD505-2E9C-101B-9397-08002B2CF9AE}" pid="4" name="KSOTemplateDocerSaveRecord">
    <vt:lpwstr>eyJoZGlkIjoiOWUyMjY1MmVhNGI1NWIxOTI3ZjU3ZTgzNmRkNmUzM2QiLCJ1c2VySWQiOiIxNTY5NDkxMTQzIn0=</vt:lpwstr>
  </property>
</Properties>
</file>