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BBBC6">
      <w:pPr>
        <w:jc w:val="center"/>
        <w:rPr>
          <w:rFonts w:hint="default" w:ascii="黑体" w:hAnsi="黑体" w:eastAsia="黑体" w:cs="黑体"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44"/>
          <w:szCs w:val="44"/>
          <w:lang w:val="en-US" w:eastAsia="zh-CN"/>
        </w:rPr>
        <w:t>项目需求表</w:t>
      </w:r>
    </w:p>
    <w:tbl>
      <w:tblPr>
        <w:tblStyle w:val="8"/>
        <w:tblW w:w="82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1"/>
        <w:gridCol w:w="6381"/>
      </w:tblGrid>
      <w:tr w14:paraId="25370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1803" w:type="dxa"/>
            <w:noWrap w:val="0"/>
            <w:vAlign w:val="center"/>
          </w:tcPr>
          <w:p w14:paraId="46D65039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6442" w:type="dxa"/>
            <w:noWrap w:val="0"/>
            <w:vAlign w:val="center"/>
          </w:tcPr>
          <w:p w14:paraId="1AE2F508">
            <w:pPr>
              <w:jc w:val="center"/>
              <w:rPr>
                <w:rFonts w:hint="default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/>
                <w:color w:val="auto"/>
                <w:sz w:val="30"/>
                <w:szCs w:val="30"/>
                <w:vertAlign w:val="baseline"/>
                <w:lang w:val="en-US" w:eastAsia="zh-CN"/>
              </w:rPr>
              <w:t>安全等级测评服务</w:t>
            </w:r>
            <w:bookmarkEnd w:id="0"/>
          </w:p>
        </w:tc>
      </w:tr>
      <w:tr w14:paraId="770A2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3" w:hRule="atLeast"/>
          <w:jc w:val="center"/>
        </w:trPr>
        <w:tc>
          <w:tcPr>
            <w:tcW w:w="8245" w:type="dxa"/>
            <w:gridSpan w:val="2"/>
            <w:noWrap w:val="0"/>
            <w:vAlign w:val="top"/>
          </w:tcPr>
          <w:p w14:paraId="4F258B8D">
            <w:pPr>
              <w:jc w:val="both"/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t>需求内容：</w:t>
            </w:r>
          </w:p>
          <w:p w14:paraId="4C986E3B">
            <w:pPr>
              <w:widowControl/>
              <w:spacing w:before="100" w:beforeAutospacing="1" w:after="100" w:afterAutospacing="1" w:line="360" w:lineRule="auto"/>
              <w:ind w:firstLine="560" w:firstLineChars="200"/>
              <w:jc w:val="left"/>
              <w:rPr>
                <w:rFonts w:ascii="仿宋" w:hAnsi="仿宋" w:eastAsia="仿宋" w:cs="宋体"/>
                <w:b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>根据《信息安全等级保护管理办法》、《GB∕T 22239-2019 信息安全技术网络安全等级保护基本要求》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《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>GB∕T 28448-2019 信息安全技术网络安全等级保护测评要求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》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>等法规和标准的要求，对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eastAsia="zh-CN"/>
              </w:rPr>
              <w:t>我院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电子病历系统、PACS检验系统、互联网医院系统、集成平台系统等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个系统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>按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网络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>安全等级保护相应指标进行测评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。</w:t>
            </w:r>
          </w:p>
          <w:p w14:paraId="58E3FC39">
            <w:pPr>
              <w:pStyle w:val="3"/>
              <w:numPr>
                <w:ilvl w:val="0"/>
                <w:numId w:val="1"/>
              </w:numP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技术服务要求</w:t>
            </w:r>
          </w:p>
          <w:p w14:paraId="202EA0D0">
            <w:pPr>
              <w:pStyle w:val="3"/>
              <w:numPr>
                <w:ilvl w:val="1"/>
                <w:numId w:val="1"/>
              </w:numP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业务系统清单</w:t>
            </w:r>
          </w:p>
          <w:tbl>
            <w:tblPr>
              <w:tblStyle w:val="7"/>
              <w:tblW w:w="9072" w:type="dxa"/>
              <w:jc w:val="center"/>
              <w:tblBorders>
                <w:top w:val="double" w:color="auto" w:sz="4" w:space="0"/>
                <w:left w:val="double" w:color="auto" w:sz="4" w:space="0"/>
                <w:bottom w:val="double" w:color="auto" w:sz="4" w:space="0"/>
                <w:right w:val="doub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36"/>
              <w:gridCol w:w="4063"/>
              <w:gridCol w:w="1905"/>
              <w:gridCol w:w="2268"/>
            </w:tblGrid>
            <w:tr w14:paraId="32D51E15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62" w:hRule="atLeast"/>
                <w:tblHeader/>
                <w:jc w:val="center"/>
              </w:trPr>
              <w:tc>
                <w:tcPr>
                  <w:tcW w:w="836" w:type="dxa"/>
                  <w:tcBorders>
                    <w:top w:val="double" w:color="auto" w:sz="4" w:space="0"/>
                  </w:tcBorders>
                  <w:shd w:val="clear" w:color="auto" w:fill="E2EFD9"/>
                  <w:vAlign w:val="center"/>
                </w:tcPr>
                <w:p w14:paraId="10956CFC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b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kern w:val="0"/>
                      <w:sz w:val="28"/>
                      <w:szCs w:val="28"/>
                    </w:rPr>
                    <w:t>序号</w:t>
                  </w:r>
                </w:p>
              </w:tc>
              <w:tc>
                <w:tcPr>
                  <w:tcW w:w="4063" w:type="dxa"/>
                  <w:tcBorders>
                    <w:top w:val="double" w:color="auto" w:sz="4" w:space="0"/>
                  </w:tcBorders>
                  <w:shd w:val="clear" w:color="auto" w:fill="E2EFD9"/>
                  <w:vAlign w:val="center"/>
                </w:tcPr>
                <w:p w14:paraId="716E2412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b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kern w:val="0"/>
                      <w:sz w:val="28"/>
                      <w:szCs w:val="28"/>
                    </w:rPr>
                    <w:t>系统名称</w:t>
                  </w:r>
                </w:p>
              </w:tc>
              <w:tc>
                <w:tcPr>
                  <w:tcW w:w="1905" w:type="dxa"/>
                  <w:tcBorders>
                    <w:top w:val="double" w:color="auto" w:sz="4" w:space="0"/>
                  </w:tcBorders>
                  <w:shd w:val="clear" w:color="auto" w:fill="E2EFD9"/>
                  <w:vAlign w:val="center"/>
                </w:tcPr>
                <w:p w14:paraId="0C0C56FF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b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kern w:val="0"/>
                      <w:sz w:val="28"/>
                      <w:szCs w:val="28"/>
                    </w:rPr>
                    <w:t>测评等级</w:t>
                  </w:r>
                </w:p>
              </w:tc>
              <w:tc>
                <w:tcPr>
                  <w:tcW w:w="2268" w:type="dxa"/>
                  <w:tcBorders>
                    <w:top w:val="double" w:color="auto" w:sz="4" w:space="0"/>
                  </w:tcBorders>
                  <w:shd w:val="clear" w:color="auto" w:fill="E2EFD9"/>
                  <w:vAlign w:val="center"/>
                </w:tcPr>
                <w:p w14:paraId="516728F5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b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kern w:val="0"/>
                      <w:sz w:val="28"/>
                      <w:szCs w:val="28"/>
                    </w:rPr>
                    <w:t>数量</w:t>
                  </w:r>
                </w:p>
              </w:tc>
            </w:tr>
            <w:tr w14:paraId="71C29AB8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  <w:jc w:val="center"/>
              </w:trPr>
              <w:tc>
                <w:tcPr>
                  <w:tcW w:w="836" w:type="dxa"/>
                  <w:vAlign w:val="center"/>
                </w:tcPr>
                <w:p w14:paraId="5F942C93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063" w:type="dxa"/>
                  <w:vAlign w:val="center"/>
                </w:tcPr>
                <w:p w14:paraId="78E28D0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ind w:firstLine="0" w:firstLineChars="0"/>
                    <w:jc w:val="center"/>
                    <w:textAlignment w:val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电子病历系统</w:t>
                  </w:r>
                </w:p>
              </w:tc>
              <w:tc>
                <w:tcPr>
                  <w:tcW w:w="1905" w:type="dxa"/>
                  <w:vAlign w:val="center"/>
                </w:tcPr>
                <w:p w14:paraId="289C48BB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三级</w:t>
                  </w:r>
                </w:p>
              </w:tc>
              <w:tc>
                <w:tcPr>
                  <w:tcW w:w="2268" w:type="dxa"/>
                  <w:vAlign w:val="center"/>
                </w:tcPr>
                <w:p w14:paraId="6F37FC9B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项</w:t>
                  </w:r>
                </w:p>
              </w:tc>
            </w:tr>
            <w:tr w14:paraId="3B2568E2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0" w:hRule="atLeast"/>
                <w:jc w:val="center"/>
              </w:trPr>
              <w:tc>
                <w:tcPr>
                  <w:tcW w:w="836" w:type="dxa"/>
                  <w:vAlign w:val="center"/>
                </w:tcPr>
                <w:p w14:paraId="136935D8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063" w:type="dxa"/>
                  <w:vAlign w:val="center"/>
                </w:tcPr>
                <w:p w14:paraId="172E115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ind w:firstLine="0" w:firstLineChars="0"/>
                    <w:jc w:val="center"/>
                    <w:textAlignment w:val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PACS系统</w:t>
                  </w:r>
                </w:p>
              </w:tc>
              <w:tc>
                <w:tcPr>
                  <w:tcW w:w="1905" w:type="dxa"/>
                  <w:vAlign w:val="center"/>
                </w:tcPr>
                <w:p w14:paraId="1966B30F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三级</w:t>
                  </w:r>
                </w:p>
              </w:tc>
              <w:tc>
                <w:tcPr>
                  <w:tcW w:w="2268" w:type="dxa"/>
                  <w:vAlign w:val="center"/>
                </w:tcPr>
                <w:p w14:paraId="2F624965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项</w:t>
                  </w:r>
                </w:p>
              </w:tc>
            </w:tr>
            <w:tr w14:paraId="4345DEFF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0" w:hRule="atLeast"/>
                <w:jc w:val="center"/>
              </w:trPr>
              <w:tc>
                <w:tcPr>
                  <w:tcW w:w="836" w:type="dxa"/>
                  <w:vAlign w:val="center"/>
                </w:tcPr>
                <w:p w14:paraId="1156EA90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063" w:type="dxa"/>
                  <w:vAlign w:val="center"/>
                </w:tcPr>
                <w:p w14:paraId="1DC1053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ind w:firstLine="0" w:firstLineChars="0"/>
                    <w:jc w:val="center"/>
                    <w:textAlignment w:val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互联网医院系统</w:t>
                  </w:r>
                </w:p>
              </w:tc>
              <w:tc>
                <w:tcPr>
                  <w:tcW w:w="1905" w:type="dxa"/>
                  <w:vAlign w:val="center"/>
                </w:tcPr>
                <w:p w14:paraId="2BBF26AA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三级</w:t>
                  </w:r>
                </w:p>
              </w:tc>
              <w:tc>
                <w:tcPr>
                  <w:tcW w:w="2268" w:type="dxa"/>
                  <w:vAlign w:val="center"/>
                </w:tcPr>
                <w:p w14:paraId="2FBFDD26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项</w:t>
                  </w:r>
                </w:p>
              </w:tc>
            </w:tr>
            <w:tr w14:paraId="01A202AD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836" w:type="dxa"/>
                  <w:vAlign w:val="center"/>
                </w:tcPr>
                <w:p w14:paraId="7575376A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063" w:type="dxa"/>
                  <w:vAlign w:val="center"/>
                </w:tcPr>
                <w:p w14:paraId="18B290C5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ind w:firstLine="0" w:firstLineChars="0"/>
                    <w:jc w:val="center"/>
                    <w:textAlignment w:val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集成平台系统</w:t>
                  </w:r>
                </w:p>
              </w:tc>
              <w:tc>
                <w:tcPr>
                  <w:tcW w:w="1905" w:type="dxa"/>
                  <w:vAlign w:val="center"/>
                </w:tcPr>
                <w:p w14:paraId="4F28630C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三级</w:t>
                  </w:r>
                </w:p>
              </w:tc>
              <w:tc>
                <w:tcPr>
                  <w:tcW w:w="2268" w:type="dxa"/>
                  <w:vAlign w:val="center"/>
                </w:tcPr>
                <w:p w14:paraId="7E3A1C5E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项</w:t>
                  </w:r>
                </w:p>
              </w:tc>
            </w:tr>
            <w:tr w14:paraId="12FA8EB1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836" w:type="dxa"/>
                  <w:vAlign w:val="center"/>
                </w:tcPr>
                <w:p w14:paraId="3B2D5459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063" w:type="dxa"/>
                  <w:vAlign w:val="center"/>
                </w:tcPr>
                <w:p w14:paraId="378929A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ind w:firstLine="0" w:firstLineChars="0"/>
                    <w:jc w:val="center"/>
                    <w:textAlignment w:val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LIS检验系统</w:t>
                  </w:r>
                </w:p>
              </w:tc>
              <w:tc>
                <w:tcPr>
                  <w:tcW w:w="1905" w:type="dxa"/>
                  <w:vAlign w:val="center"/>
                </w:tcPr>
                <w:p w14:paraId="5EAE3728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三级</w:t>
                  </w:r>
                </w:p>
              </w:tc>
              <w:tc>
                <w:tcPr>
                  <w:tcW w:w="2268" w:type="dxa"/>
                  <w:vAlign w:val="center"/>
                </w:tcPr>
                <w:p w14:paraId="5B508FBD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项</w:t>
                  </w:r>
                </w:p>
              </w:tc>
            </w:tr>
            <w:tr w14:paraId="2AF90E1D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836" w:type="dxa"/>
                  <w:vAlign w:val="center"/>
                </w:tcPr>
                <w:p w14:paraId="6729E763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063" w:type="dxa"/>
                  <w:vAlign w:val="center"/>
                </w:tcPr>
                <w:p w14:paraId="6D2C64BD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ind w:firstLine="0" w:firstLineChars="0"/>
                    <w:jc w:val="center"/>
                    <w:textAlignment w:val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医院官网系统</w:t>
                  </w:r>
                </w:p>
              </w:tc>
              <w:tc>
                <w:tcPr>
                  <w:tcW w:w="1905" w:type="dxa"/>
                  <w:vAlign w:val="center"/>
                </w:tcPr>
                <w:p w14:paraId="64C7EF77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三级</w:t>
                  </w:r>
                </w:p>
              </w:tc>
              <w:tc>
                <w:tcPr>
                  <w:tcW w:w="2268" w:type="dxa"/>
                  <w:vAlign w:val="center"/>
                </w:tcPr>
                <w:p w14:paraId="6B81B555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项</w:t>
                  </w:r>
                </w:p>
              </w:tc>
            </w:tr>
            <w:tr w14:paraId="4AB72F67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836" w:type="dxa"/>
                  <w:vAlign w:val="center"/>
                </w:tcPr>
                <w:p w14:paraId="759AD377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063" w:type="dxa"/>
                  <w:vAlign w:val="center"/>
                </w:tcPr>
                <w:p w14:paraId="420C7889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ind w:firstLine="0" w:firstLineChars="0"/>
                    <w:jc w:val="center"/>
                    <w:textAlignment w:val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医院体检系统</w:t>
                  </w:r>
                </w:p>
              </w:tc>
              <w:tc>
                <w:tcPr>
                  <w:tcW w:w="1905" w:type="dxa"/>
                  <w:vAlign w:val="center"/>
                </w:tcPr>
                <w:p w14:paraId="6320160A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三级</w:t>
                  </w:r>
                </w:p>
              </w:tc>
              <w:tc>
                <w:tcPr>
                  <w:tcW w:w="2268" w:type="dxa"/>
                  <w:vAlign w:val="center"/>
                </w:tcPr>
                <w:p w14:paraId="6E64F225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项</w:t>
                  </w:r>
                </w:p>
              </w:tc>
            </w:tr>
            <w:tr w14:paraId="43161CE2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3" w:hRule="atLeast"/>
                <w:jc w:val="center"/>
              </w:trPr>
              <w:tc>
                <w:tcPr>
                  <w:tcW w:w="836" w:type="dxa"/>
                  <w:vAlign w:val="center"/>
                </w:tcPr>
                <w:p w14:paraId="59A10F16">
                  <w:pPr>
                    <w:spacing w:line="240" w:lineRule="atLeast"/>
                    <w:jc w:val="center"/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  <w:t>8</w:t>
                  </w:r>
                </w:p>
              </w:tc>
              <w:tc>
                <w:tcPr>
                  <w:tcW w:w="4063" w:type="dxa"/>
                  <w:vAlign w:val="center"/>
                </w:tcPr>
                <w:p w14:paraId="0BE9B292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240" w:lineRule="atLeast"/>
                    <w:ind w:firstLine="0" w:firstLineChars="0"/>
                    <w:jc w:val="center"/>
                    <w:textAlignment w:val="auto"/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福建省中医病案质量管理系统</w:t>
                  </w:r>
                </w:p>
              </w:tc>
              <w:tc>
                <w:tcPr>
                  <w:tcW w:w="1905" w:type="dxa"/>
                  <w:vAlign w:val="center"/>
                </w:tcPr>
                <w:p w14:paraId="715B36D8">
                  <w:pPr>
                    <w:spacing w:line="240" w:lineRule="atLeast"/>
                    <w:jc w:val="center"/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  <w:t>三级</w:t>
                  </w:r>
                </w:p>
              </w:tc>
              <w:tc>
                <w:tcPr>
                  <w:tcW w:w="2268" w:type="dxa"/>
                  <w:vAlign w:val="center"/>
                </w:tcPr>
                <w:p w14:paraId="205B5F20">
                  <w:pPr>
                    <w:spacing w:line="240" w:lineRule="atLeast"/>
                    <w:jc w:val="center"/>
                    <w:rPr>
                      <w:rFonts w:hint="default" w:ascii="仿宋" w:hAnsi="仿宋" w:eastAsia="仿宋" w:cs="宋体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  <w:lang w:val="en-US" w:eastAsia="zh-CN"/>
                    </w:rPr>
                    <w:t>1项</w:t>
                  </w:r>
                </w:p>
              </w:tc>
            </w:tr>
          </w:tbl>
          <w:p w14:paraId="385ADA59">
            <w:pPr>
              <w:pStyle w:val="3"/>
              <w:numPr>
                <w:ilvl w:val="1"/>
                <w:numId w:val="1"/>
              </w:numP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等级保护测评服务依据标准</w:t>
            </w:r>
          </w:p>
          <w:p w14:paraId="052A83A6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360" w:lineRule="auto"/>
              <w:ind w:left="482" w:leftChars="0" w:firstLine="560" w:firstLineChars="200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测评要求需符合国家最新要求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eastAsia="zh-CN"/>
              </w:rPr>
              <w:t>，应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依据国家等级保护相关标准开展工作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  <w:lang w:eastAsia="zh-CN"/>
              </w:rPr>
              <w:t>，包括但不限于：</w:t>
            </w:r>
          </w:p>
          <w:p w14:paraId="2026856E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ind w:left="0" w:leftChars="0"/>
              <w:jc w:val="left"/>
              <w:textAlignment w:val="auto"/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GB/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 xml:space="preserve">T 17859-1999 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《计算机信息系统安全保护等级划分准则》</w:t>
            </w:r>
          </w:p>
          <w:p w14:paraId="04306EC5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ind w:left="0" w:leftChars="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GB∕T 22239-2019 《信息安全技术网络安全等级保护基本要求》</w:t>
            </w:r>
          </w:p>
          <w:p w14:paraId="5FCF08D0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ind w:left="0" w:leftChars="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GB∕T 25070-2019 《信息安全技术网络安全等级保护安全设计技术要求》</w:t>
            </w:r>
          </w:p>
          <w:p w14:paraId="10420874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ind w:left="0" w:leftChars="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GB∕T 28448-2019 《信息安全技术网络安全等级保护测评要求》</w:t>
            </w:r>
          </w:p>
          <w:p w14:paraId="21DAFF16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ind w:left="0" w:leftChars="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GB∕T 22240-2020《信息安全技术网络安全等级保护定级指南》</w:t>
            </w:r>
          </w:p>
          <w:p w14:paraId="35F64279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ind w:left="0" w:leftChars="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GB∕T 28449-2018 《信息安全技术网络安全等级保护测评过程指南》</w:t>
            </w:r>
          </w:p>
          <w:p w14:paraId="487824CE">
            <w:pPr>
              <w:pStyle w:val="10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240" w:lineRule="auto"/>
              <w:ind w:left="0" w:leftChars="0"/>
              <w:jc w:val="left"/>
              <w:textAlignment w:val="auto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信息安全等级保护管理办法(公通字〔2007〕43号)</w:t>
            </w:r>
          </w:p>
          <w:p w14:paraId="2D7F2184">
            <w:pPr>
              <w:pStyle w:val="3"/>
              <w:numPr>
                <w:ilvl w:val="1"/>
                <w:numId w:val="1"/>
              </w:numP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技术服务内容</w:t>
            </w:r>
          </w:p>
          <w:p w14:paraId="10445567">
            <w:pPr>
              <w:pStyle w:val="3"/>
              <w:numPr>
                <w:ilvl w:val="2"/>
                <w:numId w:val="1"/>
              </w:numPr>
              <w:ind w:hanging="851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信息系统评估与测评服务</w:t>
            </w:r>
          </w:p>
          <w:p w14:paraId="0B326390">
            <w:pPr>
              <w:widowControl/>
              <w:spacing w:before="120" w:after="120" w:line="360" w:lineRule="auto"/>
              <w:ind w:firstLine="480"/>
              <w:jc w:val="left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>通过风险评估、安全扫描、渗透测试、现场访谈和资料查阅等测评手段，准确反映待测信息系统的安全防护能力现状，对发现的问题进行深入分析，提出安全整改建议，最终出具信息系统等级保护测评报告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和安全风险评估报告</w:t>
            </w:r>
            <w:r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  <w:t>。</w:t>
            </w:r>
          </w:p>
          <w:p w14:paraId="7247054E">
            <w:pPr>
              <w:pStyle w:val="3"/>
              <w:numPr>
                <w:ilvl w:val="2"/>
                <w:numId w:val="1"/>
              </w:numPr>
              <w:ind w:hanging="851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等级保护测评服务内容</w:t>
            </w:r>
          </w:p>
          <w:tbl>
            <w:tblPr>
              <w:tblStyle w:val="7"/>
              <w:tblW w:w="907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15"/>
              <w:gridCol w:w="1248"/>
              <w:gridCol w:w="7009"/>
            </w:tblGrid>
            <w:tr w14:paraId="7D3ED9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blHeader/>
              </w:trPr>
              <w:tc>
                <w:tcPr>
                  <w:tcW w:w="815" w:type="dxa"/>
                  <w:shd w:val="clear" w:color="auto" w:fill="E2EFD9"/>
                  <w:vAlign w:val="center"/>
                </w:tcPr>
                <w:p w14:paraId="0F8A296D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sz w:val="28"/>
                      <w:szCs w:val="28"/>
                    </w:rPr>
                    <w:t>序号</w:t>
                  </w:r>
                </w:p>
              </w:tc>
              <w:tc>
                <w:tcPr>
                  <w:tcW w:w="8257" w:type="dxa"/>
                  <w:gridSpan w:val="2"/>
                  <w:shd w:val="clear" w:color="auto" w:fill="E2EFD9"/>
                </w:tcPr>
                <w:p w14:paraId="130CB08E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b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b/>
                      <w:color w:val="auto"/>
                      <w:sz w:val="28"/>
                      <w:szCs w:val="28"/>
                    </w:rPr>
                    <w:t>测评内容</w:t>
                  </w:r>
                </w:p>
              </w:tc>
            </w:tr>
            <w:tr w14:paraId="14B24A2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815" w:type="dxa"/>
                  <w:vAlign w:val="center"/>
                </w:tcPr>
                <w:p w14:paraId="09472E21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48" w:type="dxa"/>
                  <w:vAlign w:val="center"/>
                </w:tcPr>
                <w:p w14:paraId="58DA863D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 w:val="28"/>
                      <w:szCs w:val="28"/>
                    </w:rPr>
                    <w:t>技术测评</w:t>
                  </w:r>
                </w:p>
              </w:tc>
              <w:tc>
                <w:tcPr>
                  <w:tcW w:w="7009" w:type="dxa"/>
                  <w:vAlign w:val="center"/>
                </w:tcPr>
                <w:p w14:paraId="11B777FB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</w:t>
                  </w: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）安全物理环境（物理位置选择，物理访问控制，防盗窃和防破坏，防雷击，防火，</w:t>
                  </w:r>
                  <w:r>
                    <w:rPr>
                      <w:rFonts w:ascii="宋体" w:hAnsi="宋体" w:eastAsia="仿宋" w:cs="宋体"/>
                      <w:color w:val="auto"/>
                      <w:kern w:val="0"/>
                      <w:sz w:val="28"/>
                      <w:szCs w:val="28"/>
                    </w:rPr>
                    <w:t> 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防水和防潮，防静电，温湿度控制，电力供应，电磁防护）；</w:t>
                  </w:r>
                </w:p>
                <w:p w14:paraId="4F82F751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</w:t>
                  </w: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2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）安全通信网络（网络架构，通信传输，可信验证）；</w:t>
                  </w:r>
                </w:p>
                <w:p w14:paraId="64DF7522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</w:t>
                  </w: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3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）安全区域边界（边界防护，访问控制，入侵防范，恶意代码和垃圾邮件防范，安全审计，可信验证）；</w:t>
                  </w:r>
                </w:p>
                <w:p w14:paraId="1D00760F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</w:t>
                  </w: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4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）安全计算环境（身份鉴别，访问控制，安全审计，入侵防范，恶意代码防范，可信验证，数据完整性，数据保密性，数据备份恢复，剩余信息保护，个人信息保护）；</w:t>
                  </w:r>
                </w:p>
                <w:p w14:paraId="61811AA9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（5）安全管理中心（系统管理，审计管理，安全管理，集中管控）；</w:t>
                  </w:r>
                </w:p>
              </w:tc>
            </w:tr>
            <w:tr w14:paraId="0E0A313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4036" w:hRule="atLeast"/>
              </w:trPr>
              <w:tc>
                <w:tcPr>
                  <w:tcW w:w="815" w:type="dxa"/>
                  <w:vAlign w:val="center"/>
                </w:tcPr>
                <w:p w14:paraId="383E3301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仿宋" w:hAnsi="仿宋" w:eastAsia="仿宋" w:cs="宋体"/>
                      <w:color w:val="auto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48" w:type="dxa"/>
                  <w:vAlign w:val="center"/>
                </w:tcPr>
                <w:p w14:paraId="0966D4AD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 w:val="28"/>
                      <w:szCs w:val="28"/>
                    </w:rPr>
                    <w:t>管理测评</w:t>
                  </w:r>
                </w:p>
              </w:tc>
              <w:tc>
                <w:tcPr>
                  <w:tcW w:w="7009" w:type="dxa"/>
                  <w:vAlign w:val="center"/>
                </w:tcPr>
                <w:p w14:paraId="2479B386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</w:t>
                  </w: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1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）安全管理制度（管理制度，制定和发布，评审和修订）；</w:t>
                  </w:r>
                </w:p>
                <w:p w14:paraId="05C91463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</w:t>
                  </w: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2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）安全管理机构（岗位设置，人员配备，授权和审批，沟通和合作，审核和检查）；</w:t>
                  </w:r>
                </w:p>
                <w:p w14:paraId="35E819B2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</w:t>
                  </w:r>
                  <w:r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3</w:t>
                  </w: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）安全管理人员（人员录用，人员离岗，安全意识教育和培训，外部人员访问管理）；</w:t>
                  </w:r>
                </w:p>
                <w:p w14:paraId="50AD043F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（4）安全建设管理（定级和备案，安全方案设计，产品采购和使用，自行软件开发，外包软件开发，工程实施，测试验收，系统交付，等级测评，服务供应商选择）；</w:t>
                  </w:r>
                </w:p>
                <w:p w14:paraId="78361C68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（5）安全运维管理（环境管理，资产管理，介质管理，设备维护管理，漏洞和风险管理，网络与系统安全管理，恶意代码防范管理，配置管理，密码管理，变更管理，备份与恢复管理，安全事件处置，应急预案管理，外包运维管理）；</w:t>
                  </w:r>
                </w:p>
              </w:tc>
            </w:tr>
            <w:tr w14:paraId="33ECF27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  <w:trHeight w:val="695" w:hRule="atLeast"/>
              </w:trPr>
              <w:tc>
                <w:tcPr>
                  <w:tcW w:w="815" w:type="dxa"/>
                  <w:vAlign w:val="center"/>
                </w:tcPr>
                <w:p w14:paraId="7CA1B8E8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48" w:type="dxa"/>
                  <w:vAlign w:val="center"/>
                </w:tcPr>
                <w:p w14:paraId="2C1C8F3A">
                  <w:pPr>
                    <w:spacing w:line="240" w:lineRule="atLeast"/>
                    <w:jc w:val="center"/>
                    <w:rPr>
                      <w:rFonts w:ascii="仿宋" w:hAnsi="仿宋" w:eastAsia="仿宋" w:cs="宋体"/>
                      <w:color w:val="auto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sz w:val="28"/>
                      <w:szCs w:val="28"/>
                    </w:rPr>
                    <w:t>项目成果</w:t>
                  </w:r>
                </w:p>
              </w:tc>
              <w:tc>
                <w:tcPr>
                  <w:tcW w:w="7009" w:type="dxa"/>
                  <w:vAlign w:val="center"/>
                </w:tcPr>
                <w:p w14:paraId="54BB88C9">
                  <w:pPr>
                    <w:spacing w:line="360" w:lineRule="auto"/>
                    <w:rPr>
                      <w:rFonts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</w:pPr>
                  <w:r>
                    <w:rPr>
                      <w:rFonts w:hint="eastAsia" w:ascii="仿宋" w:hAnsi="仿宋" w:eastAsia="仿宋" w:cs="宋体"/>
                      <w:color w:val="auto"/>
                      <w:kern w:val="0"/>
                      <w:sz w:val="28"/>
                      <w:szCs w:val="28"/>
                    </w:rPr>
                    <w:t>文档资料：网络安全等级保护测评报告。</w:t>
                  </w:r>
                </w:p>
              </w:tc>
            </w:tr>
          </w:tbl>
          <w:p w14:paraId="57FC8C15">
            <w:pPr>
              <w:pStyle w:val="3"/>
              <w:numPr>
                <w:ilvl w:val="2"/>
                <w:numId w:val="1"/>
              </w:numPr>
              <w:ind w:hanging="851"/>
              <w:rPr>
                <w:rFonts w:ascii="仿宋" w:hAnsi="仿宋" w:eastAsia="仿宋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8"/>
                <w:szCs w:val="28"/>
              </w:rPr>
              <w:t>测评原则</w:t>
            </w:r>
          </w:p>
          <w:p w14:paraId="5397367E">
            <w:pPr>
              <w:pStyle w:val="5"/>
              <w:widowControl/>
              <w:spacing w:before="0" w:beforeAutospacing="0" w:after="150" w:afterAutospacing="0" w:line="293" w:lineRule="atLeast"/>
              <w:ind w:left="-180" w:right="-180" w:firstLine="390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本次安全保护等级保护测评实施应满足以下原则：</w:t>
            </w:r>
          </w:p>
          <w:p w14:paraId="676F25FB">
            <w:pPr>
              <w:pStyle w:val="5"/>
              <w:widowControl/>
              <w:spacing w:before="0" w:beforeAutospacing="0" w:after="150" w:afterAutospacing="0" w:line="293" w:lineRule="atLeast"/>
              <w:ind w:left="-180" w:right="-180" w:firstLine="390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（1）保密原则：须严格保密测评的过程数据和结果数据，未经授权不得泄露给任何单位和个人，不得利用此数据进行任何侵害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  <w:lang w:eastAsia="zh-CN"/>
              </w:rPr>
              <w:t>我院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的行为，否则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  <w:lang w:eastAsia="zh-CN"/>
              </w:rPr>
              <w:t>我院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有权追究其责任。</w:t>
            </w:r>
          </w:p>
          <w:p w14:paraId="6FA49D75">
            <w:pPr>
              <w:pStyle w:val="5"/>
              <w:widowControl/>
              <w:spacing w:before="0" w:beforeAutospacing="0" w:after="150" w:afterAutospacing="0" w:line="293" w:lineRule="atLeast"/>
              <w:ind w:left="-180" w:right="-180" w:firstLine="390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（2）标准性原则：测评方案的设计与实施须依据国家等级保护的相关标准进行。</w:t>
            </w:r>
          </w:p>
          <w:p w14:paraId="156262AD">
            <w:pPr>
              <w:pStyle w:val="5"/>
              <w:widowControl/>
              <w:spacing w:before="0" w:beforeAutospacing="0" w:after="150" w:afterAutospacing="0" w:line="293" w:lineRule="atLeast"/>
              <w:ind w:left="-180" w:right="-180" w:firstLine="390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（3）规范性原则：评测工作中的过程和文档，须具有很好的规范性，便于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  <w:lang w:eastAsia="zh-CN"/>
              </w:rPr>
              <w:t>我院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对项目的跟踪和控制。</w:t>
            </w:r>
          </w:p>
          <w:p w14:paraId="1A9998DC">
            <w:pPr>
              <w:pStyle w:val="5"/>
              <w:widowControl/>
              <w:spacing w:before="0" w:beforeAutospacing="0" w:after="150" w:afterAutospacing="0" w:line="293" w:lineRule="atLeast"/>
              <w:ind w:left="-180" w:right="-180" w:firstLine="390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（4）可控性原则：测评服务的进度要跟上进度表的安排，保证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  <w:lang w:eastAsia="zh-CN"/>
              </w:rPr>
              <w:t>我院</w:t>
            </w: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对于测评工作的可控性。</w:t>
            </w:r>
          </w:p>
          <w:p w14:paraId="364D8DB5">
            <w:pPr>
              <w:pStyle w:val="5"/>
              <w:widowControl/>
              <w:spacing w:before="0" w:beforeAutospacing="0" w:after="150" w:afterAutospacing="0" w:line="293" w:lineRule="atLeast"/>
              <w:ind w:left="-180" w:right="-180" w:firstLine="390"/>
              <w:rPr>
                <w:rFonts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（5）整体性原则：测评的范围和内容应当整体全面，包括国家等级保护相关要求涉及的各个层面。</w:t>
            </w:r>
          </w:p>
          <w:p w14:paraId="02E0C319">
            <w:pPr>
              <w:jc w:val="both"/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sz w:val="28"/>
                <w:szCs w:val="28"/>
                <w:shd w:val="clear" w:color="auto" w:fill="FFFFFF"/>
              </w:rPr>
              <w:t>（6）最小影响原则：测评工作应尽可能小的影响系统和网络，并在可控范围内；测评工作不能对现有信息系统的正常运行、业务的正常开展产生任何影响。</w:t>
            </w:r>
          </w:p>
        </w:tc>
      </w:tr>
      <w:tr w14:paraId="70FAC1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1803" w:type="dxa"/>
            <w:noWrap w:val="0"/>
            <w:vAlign w:val="center"/>
          </w:tcPr>
          <w:p w14:paraId="74FE6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t>使用科室</w:t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t>制定需求并集体确认</w:t>
            </w:r>
          </w:p>
        </w:tc>
        <w:tc>
          <w:tcPr>
            <w:tcW w:w="6442" w:type="dxa"/>
            <w:noWrap w:val="0"/>
            <w:vAlign w:val="center"/>
          </w:tcPr>
          <w:p w14:paraId="3DBA6A68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2E12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803" w:type="dxa"/>
            <w:noWrap w:val="0"/>
            <w:vAlign w:val="center"/>
          </w:tcPr>
          <w:p w14:paraId="007E9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  <w:t>信息工程师审核</w:t>
            </w:r>
          </w:p>
        </w:tc>
        <w:tc>
          <w:tcPr>
            <w:tcW w:w="6442" w:type="dxa"/>
            <w:noWrap w:val="0"/>
            <w:vAlign w:val="center"/>
          </w:tcPr>
          <w:p w14:paraId="13A12F25">
            <w:pPr>
              <w:jc w:val="center"/>
              <w:rPr>
                <w:rFonts w:hint="eastAsia" w:ascii="宋体" w:hAnsi="宋体" w:eastAsia="宋体" w:cs="宋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4C18BE1C">
      <w:pPr>
        <w:spacing w:line="240" w:lineRule="auto"/>
        <w:rPr>
          <w:rFonts w:hint="eastAsia" w:ascii="黑体" w:hAnsi="黑体" w:eastAsia="黑体" w:cs="黑体"/>
          <w:color w:val="000000"/>
          <w:kern w:val="0"/>
          <w:szCs w:val="32"/>
          <w:lang w:val="en-US" w:eastAsia="zh-CN"/>
        </w:rPr>
      </w:pPr>
    </w:p>
    <w:p w14:paraId="2D26FE3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"/>
      <w:lvlJc w:val="left"/>
      <w:pPr>
        <w:ind w:left="425" w:hanging="425"/>
      </w:pPr>
    </w:lvl>
    <w:lvl w:ilvl="1" w:tentative="0">
      <w:start w:val="1"/>
      <w:numFmt w:val="decimal"/>
      <w:lvlText w:val="%1.%2"/>
      <w:lvlJc w:val="left"/>
      <w:pPr>
        <w:ind w:left="992" w:hanging="567"/>
      </w:pPr>
    </w:lvl>
    <w:lvl w:ilvl="2" w:tentative="0">
      <w:start w:val="1"/>
      <w:numFmt w:val="decimal"/>
      <w:lvlText w:val="%1.%2.%3"/>
      <w:lvlJc w:val="left"/>
      <w:pPr>
        <w:ind w:left="1418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966CA"/>
    <w:rsid w:val="6DB9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54A1" w:themeColor="accent1" w:themeShade="BF"/>
      <w:sz w:val="40"/>
      <w:szCs w:val="4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54A1" w:themeColor="accent1" w:themeShade="BF"/>
      <w:sz w:val="32"/>
      <w:szCs w:val="3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99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styleId="5">
    <w:name w:val="Normal (Web)"/>
    <w:basedOn w:val="1"/>
    <w:next w:val="6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6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ascii="Times New Roman" w:hAnsi="Times New Roman" w:eastAsia="黑体" w:cs="宋体"/>
      <w:kern w:val="2"/>
      <w:sz w:val="24"/>
      <w:szCs w:val="20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2026-09-02T01:37:00Z</dcterms:created>
  <dc:creator>吴灵菲</dc:creator>
  <cp:lastModifiedBy>吴灵菲</cp:lastModifiedBy>
  <dcterms:modified xsi:type="dcterms:W3CDTF">2026-09-02T01:38:29Z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B5C7AC3A72F1405BBF1A7B8D5A1F5AF6_11</vt:lpwstr>
  </property>
  <property fmtid="{D5CDD505-2E9C-101B-9397-08002B2CF9AE}" pid="4" name="KSOTemplateDocerSaveRecord">
    <vt:lpwstr>eyJoZGlkIjoiOWUyMjY1MmVhNGI1NWIxOTI3ZjU3ZTgzNmRkNmUzM2QiLCJ1c2VySWQiOiIxNTY5NDkxMTQzIn0=</vt:lpwstr>
  </property>
</Properties>
</file>