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5B356">
      <w:pPr>
        <w:jc w:val="center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项目需求</w:t>
      </w:r>
    </w:p>
    <w:tbl>
      <w:tblPr>
        <w:tblStyle w:val="7"/>
        <w:tblpPr w:leftFromText="180" w:rightFromText="180" w:vertAnchor="text" w:horzAnchor="page" w:tblpX="1058" w:tblpY="520"/>
        <w:tblOverlap w:val="never"/>
        <w:tblW w:w="10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8236"/>
      </w:tblGrid>
      <w:tr w14:paraId="36DF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803" w:type="dxa"/>
            <w:vAlign w:val="center"/>
          </w:tcPr>
          <w:p w14:paraId="3DF15275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236" w:type="dxa"/>
            <w:vAlign w:val="center"/>
          </w:tcPr>
          <w:p w14:paraId="231C3C39"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  <w:t>儿童保健信息化管理平台</w:t>
            </w:r>
            <w:bookmarkStart w:id="0" w:name="_GoBack"/>
            <w:bookmarkEnd w:id="0"/>
          </w:p>
        </w:tc>
      </w:tr>
      <w:tr w14:paraId="170FA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3" w:hRule="atLeast"/>
        </w:trPr>
        <w:tc>
          <w:tcPr>
            <w:tcW w:w="10039" w:type="dxa"/>
            <w:gridSpan w:val="2"/>
          </w:tcPr>
          <w:p w14:paraId="263FF1BF">
            <w:pPr>
              <w:spacing w:line="276" w:lineRule="auto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  <w:t>建设内容</w:t>
            </w:r>
          </w:p>
          <w:p w14:paraId="3C19F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一、业务需求</w:t>
            </w:r>
          </w:p>
          <w:p w14:paraId="1AFF3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我院儿科儿童保健业务涵盖儿童健康体检、生长发育评估、营养指导、心理行为筛查、高危儿管理、康复干预等多项内容，当前传统工作模式存在流程碎片化、记录不规范、重复工作多等问题。平台需整合全流程业务，固化标准化工作流程，实现从儿童建档、预约挂号、诊室接诊、检查检验、评估干预、随访追踪到档案归档的一站式闭环管理，统一业务操作规范，减少人为操作失误，保障儿童保健服务同质化、标准化开展。</w:t>
            </w:r>
          </w:p>
          <w:p w14:paraId="6A752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二、高危儿童重点管理需求</w:t>
            </w:r>
          </w:p>
          <w:p w14:paraId="23596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针对早产儿、低出生体重儿、黄疸患儿、生长发育迟缓儿童等高危儿童群体，需实现专项精细化管理。平台需支持高危儿自动筛查、分级分类建档、专属随访计划制定、干预方案跟踪、病情转归记录等功能，实时监控高危儿健康状态，自动触发随访提醒，避免漏访、失访，提升高危儿规范管理率，做到早发现、早干预、早治疗。</w:t>
            </w:r>
          </w:p>
          <w:p w14:paraId="7DE26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三、多场景健康评估需求</w:t>
            </w:r>
          </w:p>
          <w:p w14:paraId="2232D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贴合儿童不同年龄段生长发育特点，满足新生儿期、婴儿期、幼儿期、学龄前期、学龄期等全年龄段健康评估需求，涵盖体格生长（身高、体重、头围等）、神经心理发育、营养状况、视力筛查、听力筛查、口腔保健、骨龄检测等多类评估项目，自动匹配国家儿童保健评估标准，生成专业评估结果与个性化指导方案，替代人工计算、手动填写报告的传统模式，提升评估精准性。</w:t>
            </w:r>
          </w:p>
          <w:p w14:paraId="2A378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四、随访与健康干预需求</w:t>
            </w:r>
          </w:p>
          <w:p w14:paraId="0E989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针对体检异常、慢性病患儿、康复期儿童等群体，建立常态化随访机制。平台需支持自定义随访周期、随访内容，通过系统自动推送随访提醒至医护端与家长端，实现线上随访登记、干预措施记录、健康效果追踪，同时生成个性化饮食、运动、护理等健康干预方案，形成“筛查-评估-干预-随访-复评”的闭环管理模式。</w:t>
            </w:r>
          </w:p>
          <w:p w14:paraId="21C23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五、科研与数据统计需求</w:t>
            </w:r>
          </w:p>
          <w:p w14:paraId="1C692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我院儿科承担临床诊疗与医学科研双重任务，平台需具备灵活的数据统计、筛选、导出功能，支持按儿童年龄、性别、疾病类型、体检项目、随访结果等多维度数据分类统计，自动生成儿童保健工作报表、公共卫生上报数据、科研数据台账，为儿童生长发育研究、疾病防控、服务质量优化提供数据支撑，简化科研数据收集流程。</w:t>
            </w:r>
          </w:p>
          <w:p w14:paraId="680E2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五、跨部门数据协同需求</w:t>
            </w:r>
          </w:p>
          <w:p w14:paraId="7CCEB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平台需与医院现有信息系统深度融合，实现与医院HIS系统、电子病历系统等互联互通，打破信息孤岛。儿童基本信息、检查检验结果、病历资料、保健记录等数据实时共享，避免重复录入、数据不一致问题。 </w:t>
            </w:r>
          </w:p>
          <w:p w14:paraId="361F8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六、功能需求</w:t>
            </w:r>
          </w:p>
          <w:p w14:paraId="380D4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1、儿童档案管理功能</w:t>
            </w:r>
          </w:p>
          <w:p w14:paraId="6DB47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建立儿童电子健康档案，支持新生儿一键建档、信息批量导入、档案信息修改与完善，档案内容涵盖儿童基本信息、出生信息、既往病史、过敏史、家族史、体检记录、评估报告、随访记录、接种信息、用药史等全维度健康数据；支持档案快速查询、模糊检索、权限管理，保障档案信息完整、可追溯。</w:t>
            </w:r>
          </w:p>
          <w:p w14:paraId="2A15D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2、体检与评估管理功能</w:t>
            </w:r>
          </w:p>
          <w:p w14:paraId="7AF1F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（1）体检管理：支持体检套餐自定义、体检项目勾选、体检数据快速录入，自动生成标准化体检报告，支持报告打印。</w:t>
            </w:r>
          </w:p>
          <w:p w14:paraId="781D7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（2）智能评估：内置国家通用儿童生长发育、神经心理、营养等评估量表与标准算法，自动录入体检数据后实时生成评估结果，标注异常指标，生成专业健康分析与指导建议。</w:t>
            </w:r>
          </w:p>
          <w:p w14:paraId="7DC84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（3）专项筛查：集成视力、听力、口腔、心理行为、自闭症、多动症等专项筛查模块，实现专项筛查数据记录与结果判定。</w:t>
            </w:r>
          </w:p>
          <w:p w14:paraId="46186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3、高危儿管理功能</w:t>
            </w:r>
          </w:p>
          <w:p w14:paraId="21F53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实现高危儿自动筛查与手动录入建档，划分高危等级，制定个性化随访管理方案；系统自动倒计时提醒随访时间，记录每次随访内容、干预措施、病情变化；支持高危儿转归管理，对康复患儿及时转出高危管理，生成高危儿管理统计报表。</w:t>
            </w:r>
          </w:p>
          <w:p w14:paraId="1F901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4、数据统计与报表功能</w:t>
            </w:r>
          </w:p>
          <w:p w14:paraId="48312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内置多类标准化报表模板，包括儿童体检人次、高危儿管理数、随访率、异常检出率、公共卫生上报报表等；支持自定义报表统计维度，数据自动汇总、分析，支持报表导出、打印、数据上报，满足医院管理与上级部门数据报送需求。</w:t>
            </w:r>
          </w:p>
          <w:p w14:paraId="6D242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5、系统管理与权限功能</w:t>
            </w:r>
          </w:p>
          <w:p w14:paraId="7F16F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支持多角色账号管理（主任、医生、护士等），分级设置操作权限，保障数据安全；实现系统参数设置、数据备份与恢复、日志管理、操作留痕等基础管理功能，支持系统个性化配置，适配医院儿科工作习惯。</w:t>
            </w:r>
          </w:p>
          <w:p w14:paraId="40B73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七、性能需求</w:t>
            </w:r>
          </w:p>
          <w:p w14:paraId="4418F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一、系统稳定性：平台需7×24小时稳定运行，支持医院儿科日常高峰业务操作，无卡顿、崩溃现象。</w:t>
            </w:r>
          </w:p>
          <w:p w14:paraId="0AD95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二、响应速度：页面加载、数据查询、报表生成等操作响应时间、批量数据处理响应时间块，保障工作效率。</w:t>
            </w:r>
          </w:p>
          <w:p w14:paraId="76F79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三、不限制医护人员人数同时在线操作，满足三甲医院儿科多诊室、多岗位协同工作需求。</w:t>
            </w:r>
          </w:p>
          <w:p w14:paraId="43F17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四、数据存储：具备大容量数据存储能力，支持长期留存儿童健康档案数据，数据存储安全、不丢失，支持历史数据快速调取。</w:t>
            </w:r>
          </w:p>
          <w:p w14:paraId="04448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 兼容性：适配Windows、macOS或国产电脑操作系统，支持主流浏览器访问。</w:t>
            </w:r>
          </w:p>
          <w:p w14:paraId="0F346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一、生长发育监测模块</w:t>
            </w:r>
          </w:p>
          <w:p w14:paraId="31F2B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二、发育筛查类模块 </w:t>
            </w:r>
          </w:p>
          <w:p w14:paraId="4709F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三、发育诊断类评定模块</w:t>
            </w:r>
          </w:p>
          <w:p w14:paraId="67DD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四、认知能力类评定模块</w:t>
            </w:r>
          </w:p>
          <w:p w14:paraId="2D140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五、运动能力类测试模块</w:t>
            </w:r>
          </w:p>
          <w:p w14:paraId="3ADB4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六、语言能力类评定模块 </w:t>
            </w:r>
          </w:p>
          <w:p w14:paraId="550F0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七、行为与睡眠类模块</w:t>
            </w:r>
          </w:p>
          <w:p w14:paraId="66884F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八、孤独症测试模块</w:t>
            </w:r>
          </w:p>
          <w:p w14:paraId="19E1A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九、注意力缺陷模块</w:t>
            </w:r>
          </w:p>
          <w:p w14:paraId="2AEFC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十、抽动障碍评定模块</w:t>
            </w:r>
          </w:p>
          <w:p w14:paraId="1341C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十一、运动障碍评定模块 </w:t>
            </w:r>
          </w:p>
          <w:p w14:paraId="0F0D2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十二、情绪障碍评定模块</w:t>
            </w:r>
          </w:p>
          <w:p w14:paraId="163C1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1、抑郁量表</w:t>
            </w:r>
          </w:p>
          <w:p w14:paraId="04F7C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2、焦虑量表</w:t>
            </w:r>
          </w:p>
          <w:p w14:paraId="023B1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3、情绪量表 </w:t>
            </w:r>
          </w:p>
          <w:p w14:paraId="695E0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十三、个性与心理评定模块</w:t>
            </w:r>
          </w:p>
          <w:p w14:paraId="3D8F4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十四、气质类评定模块</w:t>
            </w:r>
          </w:p>
          <w:p w14:paraId="47CBF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十五、社会生活类评定模块</w:t>
            </w:r>
          </w:p>
          <w:p w14:paraId="5DA2B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十六、营养测评类评定模块</w:t>
            </w:r>
          </w:p>
          <w:p w14:paraId="0BA4B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十七、自我意识类评定模块</w:t>
            </w:r>
          </w:p>
          <w:p w14:paraId="5FC81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十八、过敏风险和哮喘问卷评定模块</w:t>
            </w:r>
          </w:p>
          <w:p w14:paraId="30C75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十九、儿科检查工具表评定模块</w:t>
            </w:r>
          </w:p>
          <w:p w14:paraId="5DDCA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1、耶鲁婴儿观察评分（YIOS）</w:t>
            </w:r>
          </w:p>
          <w:p w14:paraId="6E0F4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2、疼痛评分(CRIES)</w:t>
            </w:r>
          </w:p>
          <w:p w14:paraId="541F7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3、疼痛评分(FLACC)</w:t>
            </w:r>
          </w:p>
          <w:p w14:paraId="7C9AE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二十、专案管理模块评定模块</w:t>
            </w:r>
          </w:p>
          <w:p w14:paraId="1D824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1、情绪障碍儿童专案管理</w:t>
            </w:r>
          </w:p>
          <w:p w14:paraId="4605D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2、高危儿专案管理</w:t>
            </w:r>
          </w:p>
          <w:p w14:paraId="795D5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3、抽动障碍专案管理</w:t>
            </w:r>
          </w:p>
          <w:p w14:paraId="23EBF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4、肥胖专案管理</w:t>
            </w:r>
          </w:p>
          <w:p w14:paraId="3D722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5、小胎龄儿专案管理</w:t>
            </w:r>
          </w:p>
          <w:p w14:paraId="655A6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6、佝偻病专案管理</w:t>
            </w:r>
          </w:p>
          <w:p w14:paraId="7FFAC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7、缺铁性贫血专案管理</w:t>
            </w:r>
          </w:p>
          <w:p w14:paraId="4737A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8、蛋白质-能量营养不良专案管理</w:t>
            </w:r>
          </w:p>
          <w:p w14:paraId="4EC73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9、低出生体重儿专案管理</w:t>
            </w:r>
          </w:p>
          <w:p w14:paraId="343F7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10、早产儿专案管理</w:t>
            </w:r>
          </w:p>
          <w:p w14:paraId="6B1D1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11、身高管理专案管理</w:t>
            </w:r>
          </w:p>
          <w:p w14:paraId="77DF20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12、中医儿童保健专案管理</w:t>
            </w:r>
          </w:p>
          <w:p w14:paraId="782DA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13、矮小专案管理</w:t>
            </w:r>
          </w:p>
          <w:p w14:paraId="0E83C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14、性早熟专案管理</w:t>
            </w:r>
          </w:p>
          <w:p w14:paraId="64D3E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二十一、视力训练模块</w:t>
            </w:r>
          </w:p>
          <w:p w14:paraId="311D6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二十二、康复评定模块</w:t>
            </w:r>
          </w:p>
          <w:p w14:paraId="18446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二十三、脊柱及步态筛查管理模块</w:t>
            </w:r>
          </w:p>
          <w:p w14:paraId="78662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二十四、视听力保健模块</w:t>
            </w:r>
          </w:p>
          <w:p w14:paraId="276BA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二十五、口腔保健模块</w:t>
            </w:r>
          </w:p>
          <w:p w14:paraId="477EB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二十六、数据管理</w:t>
            </w:r>
          </w:p>
          <w:p w14:paraId="68E1B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二十七、中医体质测评量表</w:t>
            </w:r>
          </w:p>
          <w:p w14:paraId="76D10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1、中医体质辨识</w:t>
            </w:r>
          </w:p>
          <w:p w14:paraId="7300F9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20" w:firstLineChars="200"/>
              <w:jc w:val="left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2、儿童中医体质分类与辨识</w:t>
            </w:r>
          </w:p>
        </w:tc>
      </w:tr>
      <w:tr w14:paraId="5DFAD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1803" w:type="dxa"/>
            <w:vAlign w:val="center"/>
          </w:tcPr>
          <w:p w14:paraId="42E9BA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使用科室</w:t>
            </w: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制定需求</w:t>
            </w:r>
          </w:p>
        </w:tc>
        <w:tc>
          <w:tcPr>
            <w:tcW w:w="8236" w:type="dxa"/>
            <w:vAlign w:val="center"/>
          </w:tcPr>
          <w:p w14:paraId="62623859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DE8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803" w:type="dxa"/>
            <w:vAlign w:val="center"/>
          </w:tcPr>
          <w:p w14:paraId="494CF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vertAlign w:val="baseline"/>
                <w:lang w:val="en-US" w:eastAsia="zh-CN"/>
              </w:rPr>
              <w:t>信息工程师审核</w:t>
            </w:r>
          </w:p>
        </w:tc>
        <w:tc>
          <w:tcPr>
            <w:tcW w:w="8236" w:type="dxa"/>
            <w:vAlign w:val="center"/>
          </w:tcPr>
          <w:p w14:paraId="57F8AA9B">
            <w:pPr>
              <w:jc w:val="center"/>
              <w:rPr>
                <w:rFonts w:hint="eastAsia" w:asciiTheme="minorEastAsia" w:hAnsiTheme="minorEastAsia" w:eastAsiaTheme="minorEastAsia" w:cstheme="minor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6753D06A">
      <w:pPr>
        <w:jc w:val="both"/>
        <w:rPr>
          <w:rFonts w:hint="default"/>
          <w:sz w:val="52"/>
          <w:szCs w:val="7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ZmU2ODZjNWJhMjY3N2QzYmRjOThhNmU0MmQ4ZDkifQ=="/>
  </w:docVars>
  <w:rsids>
    <w:rsidRoot w:val="56B06D87"/>
    <w:rsid w:val="0A78582D"/>
    <w:rsid w:val="0AA712A6"/>
    <w:rsid w:val="0DA24BFC"/>
    <w:rsid w:val="119E3F82"/>
    <w:rsid w:val="14EC4689"/>
    <w:rsid w:val="180D6CF4"/>
    <w:rsid w:val="1B217214"/>
    <w:rsid w:val="1D277F5E"/>
    <w:rsid w:val="1D855412"/>
    <w:rsid w:val="21512EBC"/>
    <w:rsid w:val="29657940"/>
    <w:rsid w:val="320E1D12"/>
    <w:rsid w:val="336F7659"/>
    <w:rsid w:val="38722254"/>
    <w:rsid w:val="3C223052"/>
    <w:rsid w:val="41D92DFF"/>
    <w:rsid w:val="4A02286C"/>
    <w:rsid w:val="4B9E753F"/>
    <w:rsid w:val="4D663D4A"/>
    <w:rsid w:val="528F19C6"/>
    <w:rsid w:val="568E20BE"/>
    <w:rsid w:val="56B06D87"/>
    <w:rsid w:val="59803D33"/>
    <w:rsid w:val="59CA5FB9"/>
    <w:rsid w:val="5EC608D8"/>
    <w:rsid w:val="628341B5"/>
    <w:rsid w:val="64EE365A"/>
    <w:rsid w:val="659D3FA3"/>
    <w:rsid w:val="68A869C0"/>
    <w:rsid w:val="6940532F"/>
    <w:rsid w:val="69D87C9F"/>
    <w:rsid w:val="6A0A597F"/>
    <w:rsid w:val="6ED91C51"/>
    <w:rsid w:val="6F6C3575"/>
    <w:rsid w:val="6FFABE06"/>
    <w:rsid w:val="75EF736E"/>
    <w:rsid w:val="7854145B"/>
    <w:rsid w:val="78CF064A"/>
    <w:rsid w:val="7BAC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/>
    </w:pPr>
    <w:rPr>
      <w:rFonts w:ascii="Arial" w:hAnsi="Arial"/>
      <w:sz w:val="24"/>
    </w:rPr>
  </w:style>
  <w:style w:type="paragraph" w:styleId="3">
    <w:name w:val="Body Text"/>
    <w:basedOn w:val="1"/>
    <w:next w:val="4"/>
    <w:qFormat/>
    <w:uiPriority w:val="99"/>
    <w:pPr>
      <w:ind w:firstLine="420"/>
    </w:pPr>
    <w:rPr>
      <w:rFonts w:ascii="Calibri" w:hAnsi="Calibri"/>
      <w:lang w:val="zh-CN"/>
    </w:rPr>
  </w:style>
  <w:style w:type="paragraph" w:styleId="4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</Words>
  <Characters>27</Characters>
  <Lines>0</Lines>
  <Paragraphs>0</Paragraphs>
  <TotalTime>0</TotalTime>
  <ScaleCrop>false</ScaleCrop>
  <LinksUpToDate>false</LinksUpToDate>
  <CharactersWithSpaces>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2024-08-28T10:42:00Z</dcterms:created>
  <dc:creator>郑丹</dc:creator>
  <cp:lastModifiedBy>潘林</cp:lastModifiedBy>
  <cp:lastPrinted>2026-01-16T02:35:00Z</cp:lastPrinted>
  <dcterms:modified xsi:type="dcterms:W3CDTF">2026-09-30T00:16:03Z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E33A4F0469B9456CAC35691A5F2321AD_13</vt:lpwstr>
  </property>
  <property fmtid="{D5CDD505-2E9C-101B-9397-08002B2CF9AE}" pid="4" name="KSOTemplateDocerSaveRecord">
    <vt:lpwstr>eyJoZGlkIjoiZjdmODllMjU1NzI3NmRiNjYzZDU4MTNjYTliYmJiOTciLCJ1c2VySWQiOiIxNjQwMDcwMjg4In0=</vt:lpwstr>
  </property>
</Properties>
</file>