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60D467">
      <w:pPr>
        <w:jc w:val="center"/>
        <w:rPr>
          <w:rFonts w:hint="default" w:ascii="黑体" w:hAnsi="黑体" w:eastAsia="黑体" w:cs="黑体"/>
          <w:sz w:val="44"/>
          <w:szCs w:val="44"/>
          <w:lang w:val="en-US" w:eastAsia="zh-CN"/>
        </w:rPr>
      </w:pPr>
      <w:r>
        <w:rPr>
          <w:rFonts w:hint="eastAsia" w:ascii="黑体" w:hAnsi="黑体" w:eastAsia="黑体" w:cs="黑体"/>
          <w:sz w:val="44"/>
          <w:szCs w:val="44"/>
          <w:lang w:val="en-US" w:eastAsia="zh-CN"/>
        </w:rPr>
        <w:t>项目需求</w:t>
      </w:r>
    </w:p>
    <w:tbl>
      <w:tblPr>
        <w:tblStyle w:val="7"/>
        <w:tblpPr w:leftFromText="180" w:rightFromText="180" w:vertAnchor="text" w:horzAnchor="page" w:tblpX="1058" w:tblpY="520"/>
        <w:tblOverlap w:val="never"/>
        <w:tblW w:w="10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3"/>
        <w:gridCol w:w="8236"/>
      </w:tblGrid>
      <w:tr w14:paraId="6F1F6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trPr>
        <w:tc>
          <w:tcPr>
            <w:tcW w:w="1803" w:type="dxa"/>
            <w:vAlign w:val="center"/>
          </w:tcPr>
          <w:p w14:paraId="32D1004C">
            <w:pPr>
              <w:jc w:val="center"/>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项目名称</w:t>
            </w:r>
          </w:p>
        </w:tc>
        <w:tc>
          <w:tcPr>
            <w:tcW w:w="8236" w:type="dxa"/>
            <w:vAlign w:val="center"/>
          </w:tcPr>
          <w:p w14:paraId="281C3F6D">
            <w:pPr>
              <w:jc w:val="center"/>
              <w:rPr>
                <w:rFonts w:hint="default"/>
                <w:sz w:val="30"/>
                <w:szCs w:val="30"/>
                <w:vertAlign w:val="baseline"/>
                <w:lang w:val="en-US" w:eastAsia="zh-CN"/>
              </w:rPr>
            </w:pPr>
            <w:r>
              <w:rPr>
                <w:rFonts w:ascii="微软雅黑" w:hAnsi="微软雅黑" w:eastAsia="微软雅黑" w:cs="微软雅黑"/>
                <w:i w:val="0"/>
                <w:iCs w:val="0"/>
                <w:caps w:val="0"/>
                <w:color w:val="000000"/>
                <w:spacing w:val="0"/>
                <w:sz w:val="27"/>
                <w:szCs w:val="27"/>
              </w:rPr>
              <w:t>就诊卡</w:t>
            </w:r>
            <w:bookmarkStart w:id="0" w:name="_GoBack"/>
            <w:bookmarkEnd w:id="0"/>
          </w:p>
        </w:tc>
      </w:tr>
      <w:tr w14:paraId="2FC32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3" w:hRule="atLeast"/>
        </w:trPr>
        <w:tc>
          <w:tcPr>
            <w:tcW w:w="10039" w:type="dxa"/>
            <w:gridSpan w:val="2"/>
          </w:tcPr>
          <w:p w14:paraId="6D731CD2">
            <w:pPr>
              <w:widowControl/>
              <w:spacing w:before="60" w:after="60"/>
              <w:ind w:firstLine="480" w:firstLineChars="200"/>
              <w:jc w:val="both"/>
              <w:rPr>
                <w:rFonts w:hint="default" w:ascii="宋体" w:hAnsi="宋体" w:eastAsia="宋体" w:cs="宋体"/>
                <w:b w:val="0"/>
                <w:bCs w:val="0"/>
                <w:kern w:val="0"/>
                <w:sz w:val="24"/>
                <w:szCs w:val="24"/>
                <w:lang w:val="en-US" w:eastAsia="zh-CN"/>
              </w:rPr>
            </w:pPr>
            <w:r>
              <w:rPr>
                <w:rFonts w:hint="eastAsia" w:ascii="宋体" w:hAnsi="宋体" w:cs="宋体"/>
                <w:b w:val="0"/>
                <w:bCs w:val="0"/>
                <w:kern w:val="0"/>
                <w:sz w:val="24"/>
                <w:szCs w:val="24"/>
                <w:lang w:val="en-US" w:eastAsia="zh-CN"/>
              </w:rPr>
              <w:t>拟定采购6万张门诊就诊卡和3万张体检就诊卡，最终以实际采购为准。</w:t>
            </w:r>
          </w:p>
          <w:p w14:paraId="43CDC55D">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b/>
                <w:bCs/>
                <w:kern w:val="0"/>
                <w:sz w:val="24"/>
                <w:szCs w:val="24"/>
              </w:rPr>
              <w:t>（一）认证卡片技术要求：</w:t>
            </w:r>
          </w:p>
          <w:p w14:paraId="5DCFB38F">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（1）IC卡符合ISO7816标准；</w:t>
            </w:r>
          </w:p>
          <w:p w14:paraId="7740B7BC">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（2）IC卡符合建设行业标准（CJ/T304）建设事业CPU卡操作系统技术要求；</w:t>
            </w:r>
          </w:p>
          <w:p w14:paraId="2B3D0FFB">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（3）卡规格尺寸应符合国家标准尺寸：矩形宽度：85.47mm-85.72mm、矩形高度:54.03mm-53.92mm、矩形厚度：0.80mm-0.83mm、卡四角圆角半径：3.18mm-3.20mm；</w:t>
            </w:r>
          </w:p>
          <w:p w14:paraId="4603C91F">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 xml:space="preserve">（4）功能测试、触点位置必须符合ISO7810、ISO7816标准中的规定； </w:t>
            </w:r>
          </w:p>
          <w:p w14:paraId="2C0DD6FA">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 xml:space="preserve">（5）湿度条件卡尺寸的稳定性应符合ISO7810、ISO7816标准中的规定； </w:t>
            </w:r>
          </w:p>
          <w:p w14:paraId="1D2C8912">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 xml:space="preserve">（6）耐化学性应不呈现任何有害影响； </w:t>
            </w:r>
          </w:p>
          <w:p w14:paraId="5660A793">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（7）动态弯曲应力在1000次弯曲后，卡可依旧保持功能完好，且不应有任何破裂；</w:t>
            </w:r>
          </w:p>
          <w:p w14:paraId="4852D3C0">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（8）紫外线：按规定的辐照度和曝光时间、卡片具有可测试的功能；</w:t>
            </w:r>
          </w:p>
          <w:p w14:paraId="7CF39090">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（9）粘连和并块：在规定的时间及环境下，5张样卡堆积在一起，应不呈现有害影响，并且易于用手分开；</w:t>
            </w:r>
          </w:p>
          <w:p w14:paraId="58C929DD">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（10）静磁场：暴露在标准规定的静磁场中，卡应具有可测试的功能；</w:t>
            </w:r>
          </w:p>
          <w:p w14:paraId="722E6433">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（11）IC卡数据可保存10年，可擦写作10万次以上，而不至芯片产生异状及破损；</w:t>
            </w:r>
          </w:p>
          <w:p w14:paraId="5B1AAE18">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（12）贴和性须紧密，不能产生圆角开口，及透明表层剥落 ；</w:t>
            </w:r>
          </w:p>
          <w:p w14:paraId="784734B3">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（13）卡片边缘毛边（齿锯状毛边）凸起高度不得超过平面0.08mm，不影响IC卡芯片表面接触读写器；</w:t>
            </w:r>
          </w:p>
          <w:p w14:paraId="78814CA1">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（14）卡片弯曲度：裁制完成之卡必须平直，其曲度、垂直间隙必须在127mm以下,凸字后其曲度垂直间隙必须在2.03mm以下，叠合层不得剥离或脱落；</w:t>
            </w:r>
          </w:p>
          <w:p w14:paraId="57D1C65D">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（15）印刷图样和要求由采购单位确定（印刷卡片工艺及质量应达到无触点式IC卡标准））；</w:t>
            </w:r>
          </w:p>
          <w:p w14:paraId="6BDAD001">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（16）卡片必须包含密钥初始化和写数据，直接可以在医院系统上正常初始化、发卡。</w:t>
            </w:r>
          </w:p>
          <w:p w14:paraId="3EDE1328">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b/>
                <w:bCs/>
                <w:kern w:val="0"/>
                <w:sz w:val="24"/>
                <w:szCs w:val="24"/>
              </w:rPr>
              <w:t>（二）认证卡芯片技术介绍</w:t>
            </w:r>
          </w:p>
          <w:p w14:paraId="491F2EE0">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（1）256K字节EEPROM；</w:t>
            </w:r>
          </w:p>
          <w:p w14:paraId="4329E57E">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（2）支持符合ISO7816-3标准的T=0、T=1通讯协议；</w:t>
            </w:r>
          </w:p>
          <w:p w14:paraId="1BA40967">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（3）具有复合RF功能，ISO/IEC14443 TYPE A标准协议工作频率: 13.56MHZ；</w:t>
            </w:r>
          </w:p>
          <w:p w14:paraId="7B1DCC7A">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（4）通讯速度: 106Kboud</w:t>
            </w:r>
          </w:p>
          <w:p w14:paraId="0F1AD95A">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（5）读写距离: 2.5—10CM </w:t>
            </w:r>
          </w:p>
          <w:p w14:paraId="558AC49B">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（6）读写时间: 1-2MS</w:t>
            </w:r>
          </w:p>
          <w:p w14:paraId="0AFD1366">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（7）工作温度: -20℃-85℃，温度： -10℃and+50℃</w:t>
            </w:r>
          </w:p>
          <w:p w14:paraId="549F0ED2">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（8）擦写次数:＞100000次</w:t>
            </w:r>
          </w:p>
          <w:p w14:paraId="327AEF45">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（9）数据保存:＞10年</w:t>
            </w:r>
          </w:p>
          <w:p w14:paraId="6619AFC0">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（10）制作标准: ISO 14443,ISO 10536</w:t>
            </w:r>
          </w:p>
          <w:p w14:paraId="29D2E5DB">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（11）封装材料: PVC、PET</w:t>
            </w:r>
          </w:p>
          <w:p w14:paraId="0D5EEB01">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（12）封装工艺:自动碰焊</w:t>
            </w:r>
          </w:p>
          <w:p w14:paraId="06A91353">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（13）32位保护存储器；</w:t>
            </w:r>
          </w:p>
          <w:p w14:paraId="419A485C">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（14）芯片为安全可靠、未被攻击或破解的高安全等级芯片；</w:t>
            </w:r>
          </w:p>
          <w:p w14:paraId="5B4F063D">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（15）多用途应用：支持一卡多应用，各应用之间相互独立（多应用、防火墙功能）。</w:t>
            </w:r>
          </w:p>
          <w:p w14:paraId="78EE1B75">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（16）支持多种文件类型：包括二进制文件，定长记录文件，变长记录文件，循环文件，钱包文件。</w:t>
            </w:r>
          </w:p>
          <w:p w14:paraId="1B60E943">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（17）支持医保系统及HIS的一卡通。</w:t>
            </w:r>
          </w:p>
          <w:p w14:paraId="1CA3D0DB">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（18） 兼容采购人信息系统中建卡、充值、挂号、缴费、查询等所有操作。</w:t>
            </w:r>
          </w:p>
          <w:p w14:paraId="5C6B0389">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（19）</w:t>
            </w:r>
            <w:r>
              <w:rPr>
                <w:rFonts w:hint="eastAsia" w:ascii="仿宋" w:hAnsi="仿宋" w:eastAsia="仿宋" w:cs="仿宋"/>
                <w:kern w:val="0"/>
                <w:sz w:val="24"/>
                <w:szCs w:val="24"/>
                <w:lang w:eastAsia="zh-CN"/>
              </w:rPr>
              <w:t>供应商</w:t>
            </w:r>
            <w:r>
              <w:rPr>
                <w:rFonts w:hint="eastAsia" w:ascii="仿宋" w:hAnsi="仿宋" w:eastAsia="仿宋" w:cs="仿宋"/>
                <w:kern w:val="0"/>
                <w:sz w:val="24"/>
                <w:szCs w:val="24"/>
              </w:rPr>
              <w:t>应提供认证卡写卡工作及根据医院的要求制做并印刷卡面，所供IC卡能直接在医院信息系统使用，能在医院端收费窗口、体检窗口测试环境进行建卡、建档、缴费等流程，实现一卡通及新老认证卡替换过渡使用，如需以第三方配合协助所需费用应包含在本次项目报价中。并提供承若函。</w:t>
            </w:r>
          </w:p>
          <w:p w14:paraId="22DB3E83">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b/>
                <w:bCs/>
                <w:kern w:val="0"/>
                <w:sz w:val="24"/>
                <w:szCs w:val="24"/>
              </w:rPr>
              <w:t>（三）其他要求：</w:t>
            </w:r>
          </w:p>
          <w:p w14:paraId="76FB167B">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1、认证卡片支持采购人现有各种IC卡读卡器（易联众YKT-2-III读卡器，易联众YKT-3-II-W读卡器，易联众YKT-3-II读卡器，明华澳汉RD-EB-MX读卡器等相关读卡器）以及医院信息系统（易联众软件）读取。</w:t>
            </w:r>
          </w:p>
          <w:p w14:paraId="1ED1B445">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2、号码生成规则：每张卡片由16位数字组成。其中前八位为卡片号，号段范围由采购人提供，必须在卡面上印刷出来；后八位为验证码，可随机生成，无须在卡面上印刷出。</w:t>
            </w:r>
          </w:p>
          <w:p w14:paraId="375A7349">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3、采购人提供门诊卡及体检卡卡面背景图案及医院LOGO图案，均为jpg格式图片，中标人按照采购人要求进行免费设计及美化，采购人在使用过程中有可能需要改版或增加印刷版式，服务期限内，</w:t>
            </w:r>
            <w:r>
              <w:rPr>
                <w:rFonts w:hint="eastAsia" w:ascii="仿宋" w:hAnsi="仿宋" w:eastAsia="仿宋" w:cs="仿宋"/>
                <w:kern w:val="0"/>
                <w:sz w:val="24"/>
                <w:szCs w:val="24"/>
                <w:lang w:eastAsia="zh-CN"/>
              </w:rPr>
              <w:t>供应商</w:t>
            </w:r>
            <w:r>
              <w:rPr>
                <w:rFonts w:hint="eastAsia" w:ascii="仿宋" w:hAnsi="仿宋" w:eastAsia="仿宋" w:cs="仿宋"/>
                <w:kern w:val="0"/>
                <w:sz w:val="24"/>
                <w:szCs w:val="24"/>
              </w:rPr>
              <w:t>需免费提供改版或增版的服务。</w:t>
            </w:r>
          </w:p>
          <w:p w14:paraId="05BF0827">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4</w:t>
            </w:r>
            <w:r>
              <w:rPr>
                <w:rFonts w:hint="eastAsia" w:ascii="仿宋" w:hAnsi="仿宋" w:eastAsia="仿宋" w:cs="仿宋"/>
                <w:kern w:val="0"/>
                <w:sz w:val="24"/>
                <w:szCs w:val="24"/>
              </w:rPr>
              <w:t>、卡片质量保证：每批供货时采购人随机抽取若干卡片读卡1000次，误码次数不能超过2次，否则即视为不合格卡。需保证制卡的废卡率不能超过3‰。</w:t>
            </w:r>
          </w:p>
          <w:p w14:paraId="462F597F">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、使用激光镭射（数字，颜色为黑色），位置在卡面左上角，从数字上边缘到卡片上边缘的距离为3mm±0.5mm，从英文字母No.左边缘到卡片左边缘的距离为5mm±0.5mm。（见图）。</w:t>
            </w:r>
            <w:r>
              <w:rPr>
                <w:rFonts w:hint="eastAsia" w:ascii="仿宋" w:hAnsi="仿宋" w:eastAsia="仿宋" w:cs="仿宋"/>
                <w:kern w:val="0"/>
                <w:sz w:val="24"/>
                <w:szCs w:val="24"/>
              </w:rPr>
              <w:br w:type="textWrapping"/>
            </w:r>
            <w:r>
              <w:rPr>
                <w:rFonts w:hint="eastAsia" w:ascii="仿宋" w:hAnsi="仿宋" w:eastAsia="仿宋" w:cs="仿宋"/>
                <w:kern w:val="0"/>
                <w:sz w:val="24"/>
                <w:szCs w:val="24"/>
              </w:rPr>
              <w:drawing>
                <wp:inline distT="0" distB="0" distL="0" distR="0">
                  <wp:extent cx="4563110" cy="2426335"/>
                  <wp:effectExtent l="0" t="0" r="8890" b="12065"/>
                  <wp:docPr id="1" name="图片 1" descr="N4I1}~D9ZCJKI%80~@T9WJ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N4I1}~D9ZCJKI%80~@T9WJR.png"/>
                          <pic:cNvPicPr>
                            <a:picLocks noChangeAspect="1" noChangeArrowheads="1"/>
                          </pic:cNvPicPr>
                        </pic:nvPicPr>
                        <pic:blipFill>
                          <a:blip r:embed="rId4" cstate="print"/>
                          <a:srcRect/>
                          <a:stretch>
                            <a:fillRect/>
                          </a:stretch>
                        </pic:blipFill>
                        <pic:spPr>
                          <a:xfrm>
                            <a:off x="0" y="0"/>
                            <a:ext cx="4563110" cy="2426335"/>
                          </a:xfrm>
                          <a:prstGeom prst="rect">
                            <a:avLst/>
                          </a:prstGeom>
                          <a:noFill/>
                          <a:ln w="9525">
                            <a:noFill/>
                            <a:miter lim="800000"/>
                            <a:headEnd/>
                            <a:tailEnd/>
                          </a:ln>
                        </pic:spPr>
                      </pic:pic>
                    </a:graphicData>
                  </a:graphic>
                </wp:inline>
              </w:drawing>
            </w:r>
            <w:r>
              <w:rPr>
                <w:rFonts w:hint="eastAsia" w:ascii="仿宋" w:hAnsi="仿宋" w:eastAsia="仿宋" w:cs="仿宋"/>
                <w:kern w:val="0"/>
                <w:sz w:val="24"/>
                <w:szCs w:val="24"/>
              </w:rPr>
              <w:t> </w:t>
            </w:r>
            <w:r>
              <w:rPr>
                <w:rFonts w:hint="eastAsia" w:ascii="仿宋" w:hAnsi="仿宋" w:eastAsia="仿宋" w:cs="仿宋"/>
                <w:kern w:val="0"/>
                <w:sz w:val="24"/>
                <w:szCs w:val="24"/>
              </w:rPr>
              <w:br w:type="textWrapping"/>
            </w:r>
            <w:r>
              <w:rPr>
                <w:rFonts w:hint="eastAsia" w:ascii="仿宋" w:hAnsi="仿宋" w:eastAsia="仿宋" w:cs="仿宋"/>
                <w:kern w:val="0"/>
                <w:sz w:val="24"/>
                <w:szCs w:val="24"/>
              </w:rPr>
              <w:br w:type="textWrapping"/>
            </w:r>
            <w:r>
              <w:rPr>
                <w:rFonts w:hint="eastAsia" w:ascii="仿宋" w:hAnsi="仿宋" w:eastAsia="仿宋" w:cs="仿宋"/>
                <w:kern w:val="0"/>
                <w:sz w:val="24"/>
                <w:szCs w:val="24"/>
              </w:rPr>
              <w:t>    打印字体清晰，无断线，不模糊；卡片票面卡号与物理卡号依据采购人制定的规则对应关联，且关联信息的电子文档以光盘形式随每批次采购一同发货，保证其内容正确，保证以下几个方面的准确性：</w:t>
            </w:r>
          </w:p>
          <w:p w14:paraId="6B19E2AF">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使用的卡号保证在规定的号段内；</w:t>
            </w:r>
          </w:p>
          <w:p w14:paraId="705545C4">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打印的卡号与芯片内的记录一致；</w:t>
            </w:r>
          </w:p>
          <w:p w14:paraId="25FAC6C4">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提供的电子版文件中卡号与芯片UID对应；</w:t>
            </w:r>
          </w:p>
          <w:p w14:paraId="5136A8EA">
            <w:pPr>
              <w:widowControl/>
              <w:spacing w:before="60" w:after="60" w:line="360" w:lineRule="auto"/>
              <w:ind w:firstLine="384"/>
              <w:jc w:val="left"/>
              <w:rPr>
                <w:rFonts w:hint="eastAsia" w:ascii="仿宋" w:hAnsi="仿宋" w:eastAsia="仿宋" w:cs="仿宋"/>
                <w:kern w:val="0"/>
                <w:sz w:val="24"/>
                <w:szCs w:val="24"/>
              </w:rPr>
            </w:pPr>
            <w:r>
              <w:rPr>
                <w:rFonts w:hint="eastAsia" w:ascii="仿宋" w:hAnsi="仿宋" w:eastAsia="仿宋" w:cs="仿宋"/>
                <w:kern w:val="0"/>
                <w:sz w:val="24"/>
                <w:szCs w:val="24"/>
              </w:rPr>
              <w:t>卡片顺序按照卡号顺序依次排列装盒。</w:t>
            </w:r>
          </w:p>
          <w:p w14:paraId="41C6C8CC">
            <w:pPr>
              <w:widowControl/>
              <w:spacing w:before="100" w:beforeAutospacing="1" w:after="100" w:afterAutospacing="1" w:line="360" w:lineRule="auto"/>
              <w:ind w:firstLine="336"/>
              <w:jc w:val="left"/>
              <w:rPr>
                <w:rFonts w:hint="eastAsia" w:ascii="仿宋" w:hAnsi="仿宋" w:eastAsia="仿宋" w:cs="仿宋"/>
                <w:kern w:val="0"/>
                <w:sz w:val="24"/>
                <w:szCs w:val="24"/>
              </w:rPr>
            </w:pPr>
            <w:r>
              <w:rPr>
                <w:rFonts w:hint="eastAsia" w:ascii="仿宋" w:hAnsi="仿宋" w:eastAsia="仿宋" w:cs="仿宋"/>
                <w:b/>
                <w:bCs/>
                <w:kern w:val="0"/>
                <w:sz w:val="24"/>
                <w:szCs w:val="24"/>
              </w:rPr>
              <w:t>（五）质保期和售后服务要求</w:t>
            </w:r>
          </w:p>
          <w:p w14:paraId="27FEEA3D">
            <w:pPr>
              <w:widowControl/>
              <w:spacing w:before="100" w:beforeAutospacing="1" w:after="100" w:afterAutospacing="1" w:line="360" w:lineRule="auto"/>
              <w:ind w:firstLine="336"/>
              <w:jc w:val="left"/>
              <w:rPr>
                <w:rFonts w:hint="eastAsia" w:ascii="仿宋" w:hAnsi="仿宋" w:eastAsia="仿宋" w:cs="仿宋"/>
                <w:kern w:val="0"/>
                <w:sz w:val="24"/>
                <w:szCs w:val="24"/>
              </w:rPr>
            </w:pPr>
            <w:r>
              <w:rPr>
                <w:rFonts w:hint="eastAsia" w:ascii="仿宋" w:hAnsi="仿宋" w:eastAsia="仿宋" w:cs="仿宋"/>
                <w:kern w:val="0"/>
                <w:sz w:val="24"/>
                <w:szCs w:val="24"/>
              </w:rPr>
              <w:t>（1）货物在到货检查合格后进入免费质量保证期，免费质量保证期按照国家三包政策和合同规定要求为二年，并提供7×24小时+4小时电话或电子邮件服务，接到电话或电子邮件后，将在1小时内做出明确响应和安排，2小时内做出故障诊断报告，如需现场服务的，具有解决故障能力的工程师或售后服务人员在规定的时间内到达现场时间不超过2小时。</w:t>
            </w:r>
          </w:p>
          <w:p w14:paraId="4B333A7D">
            <w:pPr>
              <w:widowControl/>
              <w:spacing w:before="100" w:beforeAutospacing="1" w:after="100" w:afterAutospacing="1" w:line="360" w:lineRule="auto"/>
              <w:ind w:firstLine="336"/>
              <w:jc w:val="left"/>
              <w:rPr>
                <w:rFonts w:hint="eastAsia" w:ascii="仿宋" w:hAnsi="仿宋" w:eastAsia="仿宋" w:cs="仿宋"/>
                <w:kern w:val="0"/>
                <w:sz w:val="24"/>
                <w:szCs w:val="24"/>
              </w:rPr>
            </w:pPr>
            <w:r>
              <w:rPr>
                <w:rFonts w:hint="eastAsia" w:ascii="仿宋" w:hAnsi="仿宋" w:eastAsia="仿宋" w:cs="仿宋"/>
                <w:kern w:val="0"/>
                <w:sz w:val="24"/>
                <w:szCs w:val="24"/>
              </w:rPr>
              <w:t>（2）服务要求</w:t>
            </w:r>
          </w:p>
          <w:p w14:paraId="7AD026E4">
            <w:pPr>
              <w:widowControl/>
              <w:spacing w:before="100" w:beforeAutospacing="1" w:after="100" w:afterAutospacing="1" w:line="360" w:lineRule="auto"/>
              <w:ind w:firstLine="336"/>
              <w:jc w:val="left"/>
              <w:rPr>
                <w:rFonts w:hint="eastAsia" w:ascii="仿宋" w:hAnsi="仿宋" w:eastAsia="仿宋" w:cs="仿宋"/>
                <w:kern w:val="0"/>
                <w:sz w:val="24"/>
                <w:szCs w:val="24"/>
              </w:rPr>
            </w:pPr>
            <w:r>
              <w:rPr>
                <w:rFonts w:hint="eastAsia" w:ascii="仿宋" w:hAnsi="仿宋" w:eastAsia="仿宋" w:cs="仿宋"/>
                <w:kern w:val="0"/>
                <w:sz w:val="24"/>
                <w:szCs w:val="24"/>
              </w:rPr>
              <w:t>服务期内对于存在质量问题的废卡，中标人须无条件予以免费更换新卡。所有货物保修服务均为中标人上门保修，</w:t>
            </w:r>
            <w:r>
              <w:rPr>
                <w:rFonts w:hint="eastAsia" w:ascii="仿宋" w:hAnsi="仿宋" w:eastAsia="仿宋" w:cs="仿宋"/>
                <w:kern w:val="0"/>
                <w:sz w:val="24"/>
                <w:szCs w:val="24"/>
                <w:lang w:eastAsia="zh-CN"/>
              </w:rPr>
              <w:t>供应商</w:t>
            </w:r>
            <w:r>
              <w:rPr>
                <w:rFonts w:hint="eastAsia" w:ascii="仿宋" w:hAnsi="仿宋" w:eastAsia="仿宋" w:cs="仿宋"/>
                <w:kern w:val="0"/>
                <w:sz w:val="24"/>
                <w:szCs w:val="24"/>
              </w:rPr>
              <w:t>报价应包含包装、运输、搬运费等等一切费用。</w:t>
            </w:r>
          </w:p>
          <w:p w14:paraId="569D33DA">
            <w:pPr>
              <w:widowControl/>
              <w:spacing w:before="100" w:beforeAutospacing="1" w:after="100" w:afterAutospacing="1" w:line="360" w:lineRule="auto"/>
              <w:ind w:firstLine="336"/>
              <w:jc w:val="left"/>
              <w:rPr>
                <w:rFonts w:hint="eastAsia" w:ascii="仿宋" w:hAnsi="仿宋" w:eastAsia="仿宋" w:cs="仿宋"/>
                <w:kern w:val="0"/>
                <w:sz w:val="24"/>
                <w:szCs w:val="24"/>
              </w:rPr>
            </w:pPr>
            <w:r>
              <w:rPr>
                <w:rFonts w:hint="eastAsia" w:ascii="仿宋" w:hAnsi="仿宋" w:eastAsia="仿宋" w:cs="仿宋"/>
                <w:kern w:val="0"/>
                <w:sz w:val="24"/>
                <w:szCs w:val="24"/>
              </w:rPr>
              <w:t>（3）</w:t>
            </w:r>
            <w:r>
              <w:rPr>
                <w:rFonts w:hint="eastAsia" w:ascii="仿宋" w:hAnsi="仿宋" w:eastAsia="仿宋" w:cs="仿宋"/>
                <w:kern w:val="0"/>
                <w:sz w:val="24"/>
                <w:szCs w:val="24"/>
                <w:lang w:eastAsia="zh-CN"/>
              </w:rPr>
              <w:t>供应商</w:t>
            </w:r>
            <w:r>
              <w:rPr>
                <w:rFonts w:hint="eastAsia" w:ascii="仿宋" w:hAnsi="仿宋" w:eastAsia="仿宋" w:cs="仿宋"/>
                <w:kern w:val="0"/>
                <w:sz w:val="24"/>
                <w:szCs w:val="24"/>
              </w:rPr>
              <w:t>可视自身能力提供更优、更合理的维修服务承诺。</w:t>
            </w:r>
          </w:p>
          <w:p w14:paraId="5CB7EAC3">
            <w:pPr>
              <w:widowControl/>
              <w:spacing w:before="60" w:after="60"/>
              <w:ind w:firstLine="482" w:firstLineChars="200"/>
              <w:jc w:val="left"/>
              <w:rPr>
                <w:rFonts w:hint="eastAsia" w:ascii="仿宋" w:hAnsi="仿宋" w:eastAsia="仿宋" w:cs="仿宋"/>
                <w:b/>
                <w:bCs/>
                <w:kern w:val="0"/>
                <w:sz w:val="24"/>
                <w:szCs w:val="24"/>
              </w:rPr>
            </w:pPr>
            <w:r>
              <w:rPr>
                <w:rFonts w:hint="eastAsia" w:ascii="仿宋" w:hAnsi="仿宋" w:eastAsia="仿宋" w:cs="仿宋"/>
                <w:b/>
                <w:bCs/>
                <w:kern w:val="0"/>
                <w:sz w:val="24"/>
                <w:szCs w:val="24"/>
              </w:rPr>
              <w:t>（</w:t>
            </w:r>
            <w:r>
              <w:rPr>
                <w:rFonts w:hint="eastAsia" w:ascii="仿宋" w:hAnsi="仿宋" w:eastAsia="仿宋" w:cs="仿宋"/>
                <w:b/>
                <w:bCs/>
                <w:kern w:val="0"/>
                <w:sz w:val="24"/>
                <w:szCs w:val="24"/>
                <w:lang w:eastAsia="zh-CN"/>
              </w:rPr>
              <w:t>六</w:t>
            </w:r>
            <w:r>
              <w:rPr>
                <w:rFonts w:hint="eastAsia" w:ascii="仿宋" w:hAnsi="仿宋" w:eastAsia="仿宋" w:cs="仿宋"/>
                <w:b/>
                <w:bCs/>
                <w:kern w:val="0"/>
                <w:sz w:val="24"/>
                <w:szCs w:val="24"/>
              </w:rPr>
              <w:t>）其他事项</w:t>
            </w:r>
          </w:p>
          <w:p w14:paraId="4CF01012">
            <w:pPr>
              <w:widowControl/>
              <w:spacing w:before="60" w:after="60"/>
              <w:jc w:val="left"/>
              <w:rPr>
                <w:rFonts w:hint="eastAsia" w:ascii="仿宋" w:hAnsi="仿宋" w:eastAsia="仿宋" w:cs="仿宋"/>
                <w:kern w:val="0"/>
                <w:sz w:val="24"/>
                <w:szCs w:val="24"/>
              </w:rPr>
            </w:pPr>
          </w:p>
          <w:p w14:paraId="6A7F50B6">
            <w:pPr>
              <w:widowControl/>
              <w:spacing w:before="60" w:after="60"/>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lang w:eastAsia="zh-CN"/>
              </w:rPr>
              <w:t>供应商</w:t>
            </w:r>
            <w:r>
              <w:rPr>
                <w:rFonts w:hint="eastAsia" w:ascii="仿宋" w:hAnsi="仿宋" w:eastAsia="仿宋" w:cs="仿宋"/>
                <w:kern w:val="0"/>
                <w:sz w:val="24"/>
                <w:szCs w:val="24"/>
              </w:rPr>
              <w:t>须提供符合要求的投标样品： </w:t>
            </w:r>
          </w:p>
          <w:p w14:paraId="25FBFD52">
            <w:pPr>
              <w:widowControl/>
              <w:spacing w:before="60" w:after="60"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     </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样品要求：样卡</w:t>
            </w:r>
            <w:r>
              <w:rPr>
                <w:rFonts w:hint="eastAsia" w:ascii="仿宋" w:hAnsi="仿宋" w:eastAsia="仿宋" w:cs="仿宋"/>
                <w:kern w:val="0"/>
                <w:sz w:val="24"/>
                <w:szCs w:val="24"/>
                <w:lang w:eastAsia="zh-CN"/>
              </w:rPr>
              <w:t>两张</w:t>
            </w:r>
            <w:r>
              <w:rPr>
                <w:rFonts w:hint="eastAsia" w:ascii="仿宋" w:hAnsi="仿宋" w:eastAsia="仿宋" w:cs="仿宋"/>
                <w:kern w:val="0"/>
                <w:sz w:val="24"/>
                <w:szCs w:val="24"/>
              </w:rPr>
              <w:t>（门诊卡</w:t>
            </w:r>
            <w:r>
              <w:rPr>
                <w:rFonts w:hint="eastAsia" w:ascii="仿宋" w:hAnsi="仿宋" w:eastAsia="仿宋" w:cs="仿宋"/>
                <w:kern w:val="0"/>
                <w:sz w:val="24"/>
                <w:szCs w:val="24"/>
                <w:lang w:eastAsia="zh-CN"/>
              </w:rPr>
              <w:t>和体检卡各一张</w:t>
            </w:r>
            <w:r>
              <w:rPr>
                <w:rFonts w:hint="eastAsia" w:ascii="仿宋" w:hAnsi="仿宋" w:eastAsia="仿宋" w:cs="仿宋"/>
                <w:kern w:val="0"/>
                <w:sz w:val="24"/>
                <w:szCs w:val="24"/>
              </w:rPr>
              <w:t>）（卡规格尺寸应符合国家标准尺寸：矩形宽度：85.47mm-85.72mm、矩形高度:54.03mm-53.92mm、矩形厚度：0.80mm-0.83mm、卡四角圆角半径：3.18mm-3.20mm；）</w:t>
            </w:r>
          </w:p>
          <w:p w14:paraId="04BF4E52">
            <w:pPr>
              <w:widowControl/>
              <w:spacing w:before="60" w:after="60" w:line="360" w:lineRule="auto"/>
              <w:ind w:firstLine="384"/>
              <w:jc w:val="left"/>
              <w:rPr>
                <w:rFonts w:hint="eastAsia" w:ascii="仿宋" w:hAnsi="仿宋" w:eastAsia="仿宋" w:cs="仿宋"/>
                <w:sz w:val="24"/>
                <w:szCs w:val="24"/>
              </w:rPr>
            </w:pPr>
          </w:p>
          <w:p w14:paraId="6AA3670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eastAsia"/>
                <w:lang w:val="en-US" w:eastAsia="zh-CN"/>
              </w:rPr>
            </w:pPr>
          </w:p>
        </w:tc>
      </w:tr>
      <w:tr w14:paraId="32E01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trPr>
        <w:tc>
          <w:tcPr>
            <w:tcW w:w="1803" w:type="dxa"/>
            <w:vAlign w:val="center"/>
          </w:tcPr>
          <w:p w14:paraId="1AE5FF1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使用科室</w:t>
            </w:r>
            <w:r>
              <w:rPr>
                <w:rFonts w:hint="eastAsia" w:ascii="宋体" w:hAnsi="宋体" w:eastAsia="宋体" w:cs="宋体"/>
                <w:sz w:val="30"/>
                <w:szCs w:val="30"/>
                <w:vertAlign w:val="baseline"/>
                <w:lang w:val="en-US" w:eastAsia="zh-CN"/>
              </w:rPr>
              <w:br w:type="textWrapping"/>
            </w:r>
            <w:r>
              <w:rPr>
                <w:rFonts w:hint="eastAsia" w:ascii="宋体" w:hAnsi="宋体" w:eastAsia="宋体" w:cs="宋体"/>
                <w:sz w:val="30"/>
                <w:szCs w:val="30"/>
                <w:vertAlign w:val="baseline"/>
                <w:lang w:val="en-US" w:eastAsia="zh-CN"/>
              </w:rPr>
              <w:t>制定需求</w:t>
            </w:r>
          </w:p>
        </w:tc>
        <w:tc>
          <w:tcPr>
            <w:tcW w:w="8236" w:type="dxa"/>
            <w:vAlign w:val="center"/>
          </w:tcPr>
          <w:p w14:paraId="2DFC8B6F">
            <w:pPr>
              <w:jc w:val="center"/>
              <w:rPr>
                <w:rFonts w:hint="eastAsia" w:asciiTheme="minorEastAsia" w:hAnsiTheme="minorEastAsia" w:eastAsiaTheme="minorEastAsia" w:cstheme="minorEastAsia"/>
                <w:sz w:val="30"/>
                <w:szCs w:val="30"/>
                <w:vertAlign w:val="baseline"/>
                <w:lang w:val="en-US" w:eastAsia="zh-CN"/>
              </w:rPr>
            </w:pPr>
          </w:p>
        </w:tc>
      </w:tr>
      <w:tr w14:paraId="596F4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trPr>
        <w:tc>
          <w:tcPr>
            <w:tcW w:w="1803" w:type="dxa"/>
            <w:vAlign w:val="center"/>
          </w:tcPr>
          <w:p w14:paraId="26B1D6D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信息工程师审核</w:t>
            </w:r>
          </w:p>
        </w:tc>
        <w:tc>
          <w:tcPr>
            <w:tcW w:w="8236" w:type="dxa"/>
            <w:vAlign w:val="center"/>
          </w:tcPr>
          <w:p w14:paraId="2F431AC5">
            <w:pPr>
              <w:jc w:val="center"/>
              <w:rPr>
                <w:rFonts w:hint="eastAsia" w:asciiTheme="minorEastAsia" w:hAnsiTheme="minorEastAsia" w:eastAsiaTheme="minorEastAsia" w:cstheme="minorEastAsia"/>
                <w:sz w:val="30"/>
                <w:szCs w:val="30"/>
                <w:vertAlign w:val="baseline"/>
                <w:lang w:val="en-US" w:eastAsia="zh-CN"/>
              </w:rPr>
            </w:pPr>
          </w:p>
        </w:tc>
      </w:tr>
    </w:tbl>
    <w:p w14:paraId="4227B244">
      <w:pPr>
        <w:jc w:val="both"/>
        <w:rPr>
          <w:rFonts w:hint="default"/>
          <w:sz w:val="52"/>
          <w:szCs w:val="7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FiZmU2ODZjNWJhMjY3N2QzYmRjOThhNmU0MmQ4ZDkifQ=="/>
  </w:docVars>
  <w:rsids>
    <w:rsidRoot w:val="56B06D87"/>
    <w:rsid w:val="047C634A"/>
    <w:rsid w:val="0A78582D"/>
    <w:rsid w:val="0AA712A6"/>
    <w:rsid w:val="0AC13DD5"/>
    <w:rsid w:val="0DA24BFC"/>
    <w:rsid w:val="119E3F82"/>
    <w:rsid w:val="14EC4689"/>
    <w:rsid w:val="180D6CF4"/>
    <w:rsid w:val="1B217214"/>
    <w:rsid w:val="1D277F5E"/>
    <w:rsid w:val="1D855412"/>
    <w:rsid w:val="21512EBC"/>
    <w:rsid w:val="320E1D12"/>
    <w:rsid w:val="336F7659"/>
    <w:rsid w:val="38722254"/>
    <w:rsid w:val="3C223052"/>
    <w:rsid w:val="41D92DFF"/>
    <w:rsid w:val="4A02286C"/>
    <w:rsid w:val="4B9E753F"/>
    <w:rsid w:val="4D663D4A"/>
    <w:rsid w:val="528F19C6"/>
    <w:rsid w:val="568E20BE"/>
    <w:rsid w:val="56B06D87"/>
    <w:rsid w:val="59803D33"/>
    <w:rsid w:val="59CA5FB9"/>
    <w:rsid w:val="5EC608D8"/>
    <w:rsid w:val="628341B5"/>
    <w:rsid w:val="64EE365A"/>
    <w:rsid w:val="659D3FA3"/>
    <w:rsid w:val="68A869C0"/>
    <w:rsid w:val="6940532F"/>
    <w:rsid w:val="69D87C9F"/>
    <w:rsid w:val="6A0A597F"/>
    <w:rsid w:val="6ED91C51"/>
    <w:rsid w:val="6F6C3575"/>
    <w:rsid w:val="6FFABE06"/>
    <w:rsid w:val="71E6486A"/>
    <w:rsid w:val="75EF736E"/>
    <w:rsid w:val="7854145B"/>
    <w:rsid w:val="78CF064A"/>
    <w:rsid w:val="791108C6"/>
    <w:rsid w:val="7BAC4A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oa heading"/>
    <w:basedOn w:val="1"/>
    <w:next w:val="1"/>
    <w:qFormat/>
    <w:uiPriority w:val="99"/>
    <w:pPr>
      <w:spacing w:before="120"/>
    </w:pPr>
    <w:rPr>
      <w:rFonts w:ascii="Arial" w:hAnsi="Arial"/>
      <w:sz w:val="24"/>
    </w:rPr>
  </w:style>
  <w:style w:type="paragraph" w:styleId="3">
    <w:name w:val="Body Text"/>
    <w:basedOn w:val="1"/>
    <w:next w:val="4"/>
    <w:qFormat/>
    <w:uiPriority w:val="99"/>
    <w:pPr>
      <w:ind w:firstLine="420"/>
    </w:pPr>
    <w:rPr>
      <w:rFonts w:ascii="Calibri" w:hAnsi="Calibri"/>
      <w:lang w:val="zh-CN"/>
    </w:rPr>
  </w:style>
  <w:style w:type="paragraph" w:styleId="4">
    <w:name w:val="Subtitle"/>
    <w:basedOn w:val="1"/>
    <w:qFormat/>
    <w:uiPriority w:val="0"/>
    <w:pPr>
      <w:spacing w:before="240" w:after="60" w:line="312" w:lineRule="auto"/>
      <w:jc w:val="center"/>
      <w:outlineLvl w:val="1"/>
    </w:pPr>
    <w:rPr>
      <w:rFonts w:ascii="Arial" w:hAnsi="Arial" w:cs="Arial"/>
      <w:b/>
      <w:bCs/>
      <w:kern w:val="28"/>
      <w:sz w:val="32"/>
      <w:szCs w:val="32"/>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2041</Words>
  <Characters>2382</Characters>
  <Lines>0</Lines>
  <Paragraphs>0</Paragraphs>
  <TotalTime>8</TotalTime>
  <ScaleCrop>false</ScaleCrop>
  <LinksUpToDate>false</LinksUpToDate>
  <CharactersWithSpaces>2412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2024-08-28T10:42:00Z</dcterms:created>
  <dc:creator>郑丹</dc:creator>
  <cp:lastModifiedBy>潘林</cp:lastModifiedBy>
  <cp:lastPrinted>2026-09-18T06:45:00Z</cp:lastPrinted>
  <dcterms:modified xsi:type="dcterms:W3CDTF">2026-09-30T00:26:22Z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858C46B408A641D9BEAD7FF53733F10D_13</vt:lpwstr>
  </property>
  <property fmtid="{D5CDD505-2E9C-101B-9397-08002B2CF9AE}" pid="4" name="KSOTemplateDocerSaveRecord">
    <vt:lpwstr>eyJoZGlkIjoiZjdmODllMjU1NzI3NmRiNjYzZDU4MTNjYTliYmJiOTciLCJ1c2VySWQiOiIxNjQwMDcwMjg4In0=</vt:lpwstr>
  </property>
</Properties>
</file>