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F9F54">
      <w:pPr>
        <w:jc w:val="center"/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项目需求表</w:t>
      </w:r>
    </w:p>
    <w:tbl>
      <w:tblPr>
        <w:tblStyle w:val="3"/>
        <w:tblpPr w:leftFromText="180" w:rightFromText="180" w:vertAnchor="page" w:horzAnchor="page" w:tblpX="2025" w:tblpY="2434"/>
        <w:tblOverlap w:val="never"/>
        <w:tblW w:w="80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6250"/>
      </w:tblGrid>
      <w:tr w14:paraId="5A447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803" w:type="dxa"/>
            <w:noWrap w:val="0"/>
            <w:vAlign w:val="center"/>
          </w:tcPr>
          <w:p w14:paraId="02D67AC0"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30"/>
                <w:szCs w:val="3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250" w:type="dxa"/>
            <w:noWrap w:val="0"/>
            <w:vAlign w:val="center"/>
          </w:tcPr>
          <w:p w14:paraId="476CC8FF"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体检业务管理服务平台</w:t>
            </w:r>
          </w:p>
        </w:tc>
      </w:tr>
      <w:tr w14:paraId="0A49A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1" w:hRule="atLeast"/>
        </w:trPr>
        <w:tc>
          <w:tcPr>
            <w:tcW w:w="8053" w:type="dxa"/>
            <w:gridSpan w:val="2"/>
            <w:noWrap w:val="0"/>
            <w:vAlign w:val="top"/>
          </w:tcPr>
          <w:tbl>
            <w:tblPr>
              <w:tblStyle w:val="2"/>
              <w:tblW w:w="783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76"/>
              <w:gridCol w:w="886"/>
              <w:gridCol w:w="1290"/>
              <w:gridCol w:w="4883"/>
            </w:tblGrid>
            <w:tr w14:paraId="1CCEFA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</w:trPr>
              <w:tc>
                <w:tcPr>
                  <w:tcW w:w="49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vAlign w:val="center"/>
                </w:tcPr>
                <w:p w14:paraId="7FBF36D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i w:val="0"/>
                      <w:iCs w:val="0"/>
                      <w:color w:val="000000" w:themeColor="text1"/>
                      <w:sz w:val="22"/>
                      <w:szCs w:val="22"/>
                      <w:u w:val="no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i w:val="0"/>
                      <w:iCs w:val="0"/>
                      <w:color w:val="000000" w:themeColor="text1"/>
                      <w:kern w:val="0"/>
                      <w:sz w:val="22"/>
                      <w:szCs w:val="22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所属模块</w:t>
                  </w:r>
                </w:p>
              </w:tc>
              <w:tc>
                <w:tcPr>
                  <w:tcW w:w="56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vAlign w:val="center"/>
                </w:tcPr>
                <w:p w14:paraId="68EA66C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i w:val="0"/>
                      <w:iCs w:val="0"/>
                      <w:color w:val="000000" w:themeColor="text1"/>
                      <w:sz w:val="22"/>
                      <w:szCs w:val="22"/>
                      <w:u w:val="no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i w:val="0"/>
                      <w:iCs w:val="0"/>
                      <w:color w:val="000000" w:themeColor="text1"/>
                      <w:kern w:val="0"/>
                      <w:sz w:val="22"/>
                      <w:szCs w:val="22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子模块</w:t>
                  </w: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vAlign w:val="center"/>
                </w:tcPr>
                <w:p w14:paraId="0715318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i w:val="0"/>
                      <w:iCs w:val="0"/>
                      <w:color w:val="000000" w:themeColor="text1"/>
                      <w:sz w:val="22"/>
                      <w:szCs w:val="22"/>
                      <w:u w:val="no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i w:val="0"/>
                      <w:iCs w:val="0"/>
                      <w:color w:val="000000" w:themeColor="text1"/>
                      <w:kern w:val="0"/>
                      <w:sz w:val="22"/>
                      <w:szCs w:val="22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功能点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vAlign w:val="center"/>
                </w:tcPr>
                <w:p w14:paraId="15CFAE3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i w:val="0"/>
                      <w:iCs w:val="0"/>
                      <w:color w:val="000000" w:themeColor="text1"/>
                      <w:sz w:val="22"/>
                      <w:szCs w:val="22"/>
                      <w:u w:val="no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i w:val="0"/>
                      <w:iCs w:val="0"/>
                      <w:color w:val="000000" w:themeColor="text1"/>
                      <w:kern w:val="0"/>
                      <w:sz w:val="22"/>
                      <w:szCs w:val="22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功能说明</w:t>
                  </w:r>
                </w:p>
              </w:tc>
            </w:tr>
            <w:tr w14:paraId="5007B1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60" w:hRule="atLeast"/>
              </w:trPr>
              <w:tc>
                <w:tcPr>
                  <w:tcW w:w="495" w:type="pct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95AA22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商务流程管理模块</w:t>
                  </w:r>
                </w:p>
              </w:tc>
              <w:tc>
                <w:tcPr>
                  <w:tcW w:w="565" w:type="pct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75CB4A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企业客户档案管理</w:t>
                  </w: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7193E2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客户信息标准化录入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F5FFE6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支持按照统一字段和格式维护企业客户基础信息，确保客户数据完整、规范、可复用。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在原有基础信息上，新增 4 类核心属性字段：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① 行业属性：金融、教育、医疗、制造业、政府机关等</w:t>
                  </w:r>
                  <w:bookmarkStart w:id="0" w:name="_GoBack"/>
                  <w:bookmarkEnd w:id="0"/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（用于区分行业系统）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② 企业性质：国企、外资、民营、事业单位、政府机关等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③ 所在区域：台江区、鼓楼区、仓山区等（关联后期团体报表统计）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④ 合作方式：公开招标、政府采购、直接商务洽谈等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同时新增企业协议 / 合同附件上传字段，不同企业招标类型、协议差异化存储</w:t>
                  </w:r>
                </w:p>
              </w:tc>
            </w:tr>
            <w:tr w14:paraId="722798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4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24E6AB4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C8653FE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73B467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客户档案统一归档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ECC42D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集中归集企业基础资料、合作记录、历史对接记录、体检合作方案及回款信息，形成完整、可追溯的客户档案。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除基础资料、合作记录外，新增：企业资质文件、招投标文件、合作协议、历年体检方案归档，形成 "一企一档"。</w:t>
                  </w:r>
                </w:p>
              </w:tc>
            </w:tr>
            <w:tr w14:paraId="5D6E6D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4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CC48B0C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F46384A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41B043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客户信息查询与查看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2778E4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支持按关键条件快速检索并查看企业客户信息，提供客户基础资料、合作情况及跟进记录的全景查询。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支持按行业、企业性质、区域、合作方式多条件筛选查询，支持模糊检索。</w:t>
                  </w:r>
                </w:p>
              </w:tc>
            </w:tr>
            <w:tr w14:paraId="5A5AF5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4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7A34AE5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D7E7AC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商机全流程跟踪管理</w:t>
                  </w: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3AEE69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商机信息录入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ABB2CF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支持新增企业合作商机，并维护商机来源、合作意向、对接需求、预计合作内容等核心信息。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关联企业档案，同步更新商机状态和节点。</w:t>
                  </w:r>
                </w:p>
              </w:tc>
            </w:tr>
            <w:tr w14:paraId="3A2019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6828116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56A7EEB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582ADF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商机谈判进度记录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42525B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支持记录商务沟通内容、谈判时间、对接人员、阶段进展及相关备注，确保谈判过程可追溯。</w:t>
                  </w:r>
                </w:p>
              </w:tc>
            </w:tr>
            <w:tr w14:paraId="0167F3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392F986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31EEB9A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E41C48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商机状态管控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8C4EF2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支持维护商机当前阶段、跟进状态和交接记录，及时掌握商机进展与责任归属。</w:t>
                  </w:r>
                </w:p>
              </w:tc>
            </w:tr>
            <w:tr w14:paraId="5F500C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9FAD6CB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49FC2E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商机分配与客户分层管理</w:t>
                  </w: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D6FEE7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标准化商机流转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35A87B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基于标准流程实现商机受理审批、业务员分配和后续跟进，规范商机流转。</w:t>
                  </w:r>
                </w:p>
              </w:tc>
            </w:tr>
            <w:tr w14:paraId="61BED8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6202201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D2B123D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987C9E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业务员专属跟进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2978B1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支持为商机指定责任业务员并维护责任归属，明确一对一跟进职责。</w:t>
                  </w:r>
                </w:p>
              </w:tc>
            </w:tr>
            <w:tr w14:paraId="76FCF0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F44A7A4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634061A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1E3DA1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客户分层精细化管理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E76634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支持按分层分类标签维护所负责企业客户，为差异化跟进和客户运营提供依据。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分层分类可支持按行业分层、按企业性质分层、按区域分层、按合作方式分层、按合作规模分层。</w:t>
                  </w:r>
                </w:p>
              </w:tc>
            </w:tr>
            <w:tr w14:paraId="7BEEB5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0" w:hRule="atLeast"/>
              </w:trPr>
              <w:tc>
                <w:tcPr>
                  <w:tcW w:w="495" w:type="pct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5FE55A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执行流程管理模块</w:t>
                  </w:r>
                </w:p>
              </w:tc>
              <w:tc>
                <w:tcPr>
                  <w:tcW w:w="565" w:type="pct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6EDBD5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企业体检项目配置管理</w:t>
                  </w: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2CFF4A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体检计划分组管理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2824B4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业务员基于接口同步的项目库，为企业自由组合体检套餐，支持按人员分组（年龄、性别、在职 / 退休）配置不同项目组合，灵活搭配</w:t>
                  </w:r>
                </w:p>
              </w:tc>
            </w:tr>
            <w:tr w14:paraId="353651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34ECFC6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9B686BD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919B7C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固定项目配置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D495F9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支持业务员选择标准化体检项目，并将固定项目和价格绑定至企业客户，快速生成合作方案。</w:t>
                  </w:r>
                </w:p>
              </w:tc>
            </w:tr>
            <w:tr w14:paraId="03484C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2F3A98A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AB7C645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EE1120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半固定项目配置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AE63B6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支持选择部分基础体检项目，其余体检项目可按需增减，满足企业客户的轻度个性化配置需求。</w:t>
                  </w:r>
                </w:p>
              </w:tc>
            </w:tr>
            <w:tr w14:paraId="775E2B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B6E755D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287BE9D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3CDFD8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固定金额自选项目配置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74B12A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支持设置企业合作额度，员工可在额度范围内自主选择体检项目，满足灵活配置需求。</w:t>
                  </w:r>
                </w:p>
              </w:tc>
            </w:tr>
            <w:tr w14:paraId="7E13CB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BED0DA0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E1B914F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196769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体检项目接口对接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78B913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体检套餐库通过接口方式对接院内体检系统，实时同步项目、价格、套餐基础数据，平台不单独维护项目库，以院内系统为唯一数据源</w:t>
                  </w:r>
                </w:p>
              </w:tc>
            </w:tr>
            <w:tr w14:paraId="252A98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2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B4828F6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D77901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业务落地与回款跟进</w:t>
                  </w: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49C41D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体检方案落地跟进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FE7587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支持记录企业体检方案的筹备、排期和执行情况，跟踪方案从确认到落地的全过程。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审批通过的方案自动生成团体体检计划，记录企业体检方案的筹备、排期、状态和执行情况，关联企业档案</w:t>
                  </w:r>
                </w:p>
              </w:tc>
            </w:tr>
            <w:tr w14:paraId="0461E3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91AD7A8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BBE297A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1307A5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参检数据统计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6802C6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支持统计企业员工报名人数和实际参检人数，为参检率核算和业务分析提供数据依据。</w:t>
                  </w:r>
                </w:p>
              </w:tc>
            </w:tr>
            <w:tr w14:paraId="5E5B54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E8A06CE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D64052F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7972AF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回款进度管控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94837E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支持记录订单回款金额、回款节点及回款状态，并持续跟踪待回款事项。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回款关联企业合作方式（公投 / 采购），不同合作方式对应不同回款节点和协议规则，支持按合作方式分类统计回款。</w:t>
                  </w:r>
                </w:p>
              </w:tc>
            </w:tr>
            <w:tr w14:paraId="0A2D2E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60" w:hRule="atLeast"/>
              </w:trPr>
              <w:tc>
                <w:tcPr>
                  <w:tcW w:w="495" w:type="pct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8B13AE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可视化数据看板模块</w:t>
                  </w:r>
                </w:p>
              </w:tc>
              <w:tc>
                <w:tcPr>
                  <w:tcW w:w="565" w:type="pct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96F0D8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核心运营数据统计</w:t>
                  </w: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31F2AD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企业合作数据统计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B6F13C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支持统计累计对接企业数、有效合作企业数和新增商机企业数等合作经营指标。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从5个统计维度：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① 按行业统计：各行业企业数量、合作金额、参检人数对比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② 按企业性质统计：国企 / 外资 / 民营 / 事业单位等分布及营收占比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③ 按区域统计：各行政区（台江、鼓楼等）企业分布、合作规模对比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④ 按合作方式统计：公投 / 采购 / 直签等合作方式数量及金额占比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⑤ 按年度统计：企业数量、体检金额、体检人数及其与往年对比等</w:t>
                  </w:r>
                </w:p>
              </w:tc>
            </w:tr>
            <w:tr w14:paraId="5773C3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4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0B59D1C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97CF3D4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0C40FF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体检业务数据统计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99D2F9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支持自动统计企业员工参检人数、整体参检率和单企业参检率等核心业务指标。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可按历年数据对比：同比 / 环比参检人数、参检率变化趋势，支持按年、季度、月度多周期对比</w:t>
                  </w:r>
                </w:p>
              </w:tc>
            </w:tr>
            <w:tr w14:paraId="2A32B5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3604242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3BF431A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88C49E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财务回款数据统计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D66AD8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支持展示总回款金额、当期回款、待回款金额及各企业回款进度明细。</w:t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支持按行业、企业性质、区域、合作方式多维度回款分析，历年回款对比趋势</w:t>
                  </w:r>
                </w:p>
              </w:tc>
            </w:tr>
            <w:tr w14:paraId="32EF25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6FAA685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0F0159A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EFF98B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商务业绩数据统计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2FEA63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支持统计每位业务员商机跟进进度、商机成交率、跟进量、成交业绩、年度业务金额、合作企业增减、每年团检人数对比、增项金额汇总等经营指标。</w:t>
                  </w:r>
                </w:p>
              </w:tc>
            </w:tr>
            <w:tr w14:paraId="28AF1F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50EBA8F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8F6AE9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数据可视化展示能力</w:t>
                  </w: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86099F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可视化图表展示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83FF22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支持以数据卡片、图表和榜单等形式展示核心运营指标，提升数据查阅效率。</w:t>
                  </w:r>
                </w:p>
              </w:tc>
            </w:tr>
            <w:tr w14:paraId="38CB1B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701E349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22708DA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BBE508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数据实时更新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FA2F23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支持业务数据、回款数据和参检数据同步更新，确保运营数据及时可用。</w:t>
                  </w:r>
                </w:p>
              </w:tc>
            </w:tr>
            <w:tr w14:paraId="753EB3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atLeast"/>
              </w:trPr>
              <w:tc>
                <w:tcPr>
                  <w:tcW w:w="49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02BBBD3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72A3D3F">
                  <w:pPr>
                    <w:jc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82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2BED25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数据溯源查询</w:t>
                  </w:r>
                </w:p>
              </w:tc>
              <w:tc>
                <w:tcPr>
                  <w:tcW w:w="311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9957A7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支持从指标结果下钻至对应明细数据，查看数据来源及相关业务记录。</w:t>
                  </w:r>
                </w:p>
              </w:tc>
            </w:tr>
          </w:tbl>
          <w:p w14:paraId="6977D329">
            <w:pPr>
              <w:jc w:val="both"/>
              <w:rPr>
                <w:rFonts w:hint="eastAsia" w:asciiTheme="majorEastAsia" w:hAnsiTheme="majorEastAsia" w:eastAsiaTheme="majorEastAsia" w:cstheme="majorEastAsia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F4D2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1803" w:type="dxa"/>
            <w:noWrap w:val="0"/>
            <w:vAlign w:val="center"/>
          </w:tcPr>
          <w:p w14:paraId="2069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使用科室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制定参数并集体确认</w:t>
            </w:r>
          </w:p>
        </w:tc>
        <w:tc>
          <w:tcPr>
            <w:tcW w:w="6250" w:type="dxa"/>
            <w:noWrap w:val="0"/>
            <w:vAlign w:val="center"/>
          </w:tcPr>
          <w:p w14:paraId="69B958B1">
            <w:pPr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32C5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803" w:type="dxa"/>
            <w:noWrap w:val="0"/>
            <w:vAlign w:val="center"/>
          </w:tcPr>
          <w:p w14:paraId="09B73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信息工程师审核</w:t>
            </w:r>
          </w:p>
        </w:tc>
        <w:tc>
          <w:tcPr>
            <w:tcW w:w="6250" w:type="dxa"/>
            <w:noWrap w:val="0"/>
            <w:vAlign w:val="center"/>
          </w:tcPr>
          <w:p w14:paraId="7A22A1FF">
            <w:pPr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0CD796BE">
      <w:pPr>
        <w:jc w:val="center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B4F15"/>
    <w:rsid w:val="006E4A62"/>
    <w:rsid w:val="02EA1115"/>
    <w:rsid w:val="0C9606D3"/>
    <w:rsid w:val="0E2E0E62"/>
    <w:rsid w:val="209F6013"/>
    <w:rsid w:val="23F84985"/>
    <w:rsid w:val="27BA21B7"/>
    <w:rsid w:val="344B4F15"/>
    <w:rsid w:val="38CA5FD2"/>
    <w:rsid w:val="4D9042D7"/>
    <w:rsid w:val="4F802179"/>
    <w:rsid w:val="693E46D3"/>
    <w:rsid w:val="69A3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1917</Words>
  <Characters>1917</Characters>
  <Lines>0</Lines>
  <Paragraphs>0</Paragraphs>
  <TotalTime>8</TotalTime>
  <ScaleCrop>false</ScaleCrop>
  <LinksUpToDate>false</LinksUpToDate>
  <CharactersWithSpaces>1947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2026-02-25T03:34:00Z</dcterms:created>
  <dc:creator>潘林</dc:creator>
  <cp:lastModifiedBy>游文平</cp:lastModifiedBy>
  <dcterms:modified xsi:type="dcterms:W3CDTF">2026-08-21T03:02:45Z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4E5A93A23B72496397192C7C921D0BFF_13</vt:lpwstr>
  </property>
  <property fmtid="{D5CDD505-2E9C-101B-9397-08002B2CF9AE}" pid="4" name="KSOTemplateDocerSaveRecord">
    <vt:lpwstr>eyJoZGlkIjoiNDY1YzYxNGVlNTdjMWFkNzQ1N2Q5NGM2MjU4YWJkZDAiLCJ1c2VySWQiOiIxNzczNzE2MDY2In0=</vt:lpwstr>
  </property>
</Properties>
</file>