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40" w:lineRule="auto"/>
        <w:jc w:val="center"/>
      </w:pPr>
      <w:r>
        <w:rPr>
          <w:rFonts w:ascii="宋体" w:hAnsi="宋体" w:eastAsia="宋体"/>
          <w:b/>
          <w:sz w:val="44"/>
        </w:rPr>
        <w:t>项目需求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7143"/>
      </w:tblGrid>
      <w:tr>
        <w:tc>
          <w:tcPr>
            <w:tcW w:type="dxa" w:w="2041"/>
            <w:vAlign w:val="center"/>
          </w:tcPr>
          <w:p/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8"/>
              </w:rPr>
              <w:t>项目名称</w:t>
            </w:r>
          </w:p>
        </w:tc>
        <w:tc>
          <w:tcPr>
            <w:tcW w:type="dxa" w:w="7143"/>
            <w:vAlign w:val="center"/>
          </w:tcPr>
          <w:p/>
          <w:p>
            <w:pPr>
              <w:spacing w:before="0" w:after="0" w:line="276" w:lineRule="auto"/>
              <w:ind w:firstLine="240"/>
            </w:pPr>
            <w:r>
              <w:rPr>
                <w:rFonts w:ascii="Times New Roman" w:hAnsi="Times New Roman" w:eastAsia="宋体"/>
                <w:b w:val="0"/>
                <w:sz w:val="28"/>
              </w:rPr>
              <w:t>蛇伤一键通智慧救治一体化平台建设（软件开发服务）</w:t>
            </w:r>
          </w:p>
        </w:tc>
      </w:tr>
      <w:tr>
        <w:tc>
          <w:tcPr>
            <w:tcW w:type="dxa" w:w="9184"/>
            <w:gridSpan w:val="2"/>
          </w:tcPr>
          <w:p/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4"/>
              </w:rPr>
              <w:t>建设内容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本项目聚焦区域蛇伤急救救治痛点，依托移动互联网、大数据、智能算法、隐私安全脱敏等技术，建设一套集患者一键救援、院前伤情采集、院内精准救治、专家MDT会诊、跨院转诊调配、血清库存管控、医护培训赋能、大数据监管、全流程隐私安全防护于一体的蛇伤一键通智慧救治一体化平台。平台分为患者微信小程序、医生微信小程序、PC端后台管理系统三大载体，同步完成系统集成、安全合规、信创适配及运维保障体系建设，全面提升区域蛇伤应急救治效率、规范诊疗流程、优化抗蛇毒血清资源配置，构建标准化、智能化、一体化的蛇伤紧急救治服务体系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本项目性质为定制化软件开发服务，不属于成品软件采购。</w:t>
            </w:r>
            <w:r>
              <w:rPr>
                <w:rFonts w:ascii="Times New Roman" w:hAnsi="Times New Roman" w:eastAsia="宋体"/>
                <w:b w:val="0"/>
                <w:sz w:val="21"/>
              </w:rPr>
              <w:t>本项目所含全部软件功能均为非标定制开发，市场上无成熟成品软件可供直接采购，须由中标供应商按照本需求书要求，完成需求调研、系统设计、编码开发、测试、部署实施、培训及售后运维全流程软件开发服务。项目按软件开发工作量计价，报价包含全部开发、实施、集成、等保建设、信创适配、培训及首年运维费用，不包含亦不得另行计取任何软件许可费、产品授权费或按用户数计取的年费。开发成果（含全部源代码、设计文档及相关知识产权）归采购人所有。</w:t>
            </w:r>
          </w:p>
        </w:tc>
      </w:tr>
      <w:tr>
        <w:tc>
          <w:tcPr>
            <w:tcW w:type="dxa" w:w="2041"/>
            <w:vAlign w:val="center"/>
          </w:tcPr>
          <w:p/>
          <w:p>
            <w:pPr>
              <w:spacing w:before="0" w:after="0" w:line="312" w:lineRule="auto"/>
              <w:jc w:val="center"/>
            </w:pPr>
            <w:r>
              <w:rPr>
                <w:rFonts w:ascii="Times New Roman" w:hAnsi="Times New Roman" w:eastAsia="宋体"/>
                <w:b/>
                <w:sz w:val="28"/>
              </w:rPr>
              <w:t>使用科室</w:t>
              <w:br/>
              <w:t>制定需求</w:t>
            </w:r>
          </w:p>
        </w:tc>
        <w:tc>
          <w:tcPr>
            <w:tcW w:type="dxa" w:w="7143"/>
          </w:tcPr>
          <w:p/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一、患者端微信小程序定制开发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面向普通群众、蛇伤受伤患者提供轻量化、便捷化的院前急救服务，简化救援操作，实现一键极速救援、智能分诊、院前伤情同步，打通蛇伤急救“最后一公里”。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智能一键救援推荐引擎定制开发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权重式智能救治点推荐算法模型，首页默认展示救援核心入口，患者一键发起救援后，系统自动获取实时地理位置，通过多维度加权计分模型智能排序最优救治医院。算法综合权重包含：医院等级40%、血清种类齐全度20%、中成药配置水平20%、救治距离20%。支持后台可视化自定义配置评分维度、新增/停用评价指标、动态调整权重参数，适配不同区域救治资源调配需求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语音播报与多方言救援服务定制开发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集成TTS文字转语音合成能力，实现平台功能、医院信息、救援指引自动语音播报。在推荐救治点列表配置三类极速救援能力，支持一键拨打120急救电话、一键直通医院蛇伤专属专线、一键调起微信地图实时导航，为患者及陪同人员提供全方位院前救援指引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院前途中伤情全要素采集模块定制开发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院前伤情自助采集体系，支持患者在就医途中自主填报蛇体特征（颜色、斑纹、头部形状等）、咬伤部位、受伤时间、自觉症状等文字信息；支持实时拍摄毒蛇照片、伤口创面照片并上传。系统自动留存所有填报内容的上传时间、地理位置信息，所有院前伤情数据实时、同步、完整推送至对应接诊医院医生端，为医生提前研判伤情、准备救治方案提供依据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个人蛇伤健康档案管理模块定制开发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为患者建立专属蛇伤诊疗电子档案，永久留存历次蛇伤就诊记录。患者可随时在线查看本次及历史就诊病历、救治记录、血清使用情况、诊疗结果等全量档案信息，实现个人蛇伤健康数据可查、可追溯。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二、医生端微信小程序定制开发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面向联盟医疗机构医护人员打造移动化诊疗工作工具，实现救援预警、患者追踪、结构化病历、会诊转诊、库存管理、在线培训一体化业务闭环，提升蛇伤诊疗规范化与协同救治能力。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救援消息推送与患者实时追踪模块定制开发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实时消息推送机制，患者发起救援后，对应接诊医院医生端即时接收预警通知。医护人员可实时查看患者地理位置、院前填报的伤情文字信息、蛇体及伤口影像资料，支持标记患者“途中/已到达”接诊状态，提前开展药品准备、创面处置准备等接诊工作，缩短救治响应时间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蛇伤定制化结构化电子病历模块开发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定制标准化蛇伤专属电子病历模板，支持一键同步导入患者院前采集的所有伤情数据，无需医生重复录入。支持院内实时拍照补充伤口处置、创面恢复等诊疗影像，集成电子签名功能，实现病历线上审核、归档、导出，规范蛇伤诊疗病历管理，满足医疗文书规范化要求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MDT多学科远程会诊功能定制开发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区域蛇伤分级会诊体系，支持基层医疗机构医生向上级市级、省级蛇伤诊疗专家发起远程会诊申请。专家端可一键调阅患者完整病历、伤情照片、院前救援信息，实现诊疗数据共享、远程病情研判、诊疗方案指导，提升基层蛇伤救治能力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跨机构转诊绿色通道定制开发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构建标准化蛇伤转诊流程，支持医生在线发起转诊申请，系统自动聚合病历摘要、抗蛇毒血清使用记录、伤口影像、诊疗记录等信息，自动生成标准化结构化转诊档案。接收机构医生可提前调阅患者全部诊疗资料，在线确认接诊，实现跨院转诊无缝衔接，避免救治断层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5. 抗蛇毒血清库存可视化预警模块定制开发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区域联盟血清统一管控体系，各医疗机构医护人员可在线实时上报抗蛇毒血清品类、库存数量、有效期等信息。系统支持自定义安全库存阈值，当医院血清库存低于预警值时，自动标红高亮并触发预警通知，提醒管理人员及时补充、联盟统筹调配，解决血清储备不均、应急短缺问题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6. 医护线上培训中心定制开发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专业化蛇伤诊疗培训资料库，集中存储蛇伤诊疗指南、教学课件、标准化操作视频等学习资源。支持后台发布培训通知、开启线上报名、统计参训数据，为区域医护人员提供常态化、规范化蛇伤技能培训渠道，整体提升区域蛇伤诊疗专业水平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三、PC端后台管理系统定制开发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搭建平台总控管理后台，实现全业务、全数据、全人员、全资源的统一管控，支撑平台日常运营、资源调配、数据监管、内容维护、权限管理等核心工作。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基础信息与权限体系管理模块定制开发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实现联盟医院基础信息台账管理，支持维护医院地址、等级、经纬度、蛇伤专线电话、中成药储备配置等信息；支持医护账号新增、删除、角色划分、权限分级管控。同时支持自定义配置一键救援推荐规则，可灵活新增、停用评分维度，动态调整各维度权重比例，适配不同场景救援调度需求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血清库存综合管控模块定制开发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实现全联盟医院血清库存数据统一查看、在线审核、动态监管，支持管理员手动设置各类血清安全预警阈值。系统自动统计库存历史变化趋势，生成可视化数据报表，支持数据一键导出，并基于区域库存分布智能给出资源调配建议，实现区域抗蛇毒血清集约化、合理化调度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内容运营与培训管理模块定制开发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支持后台维护患者端科普知识库，常态化更新蛇伤预防、自救、诊疗科普内容；统一管理医生端培训资料，支持视频、课件、文档上传发布，在线发布培训通知、统计报名人数与参训情况，实现培训工作标准化、数字化管理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大数据可视化驾驶舱定制开发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区域蛇伤救治数据监管驾驶舱，对救援发起量、120及专线拨打量、病历归档量、会诊转诊量、血清预警次数等核心业务指标进行可视化图表展示。支持按医院、时间段、伤情类型、血清品类等多维度下钻分析，为管理部门掌握区域蛇伤救治态势、优化医疗资源配置提供数据支撑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四、数据脱敏与隐私安全功能定制开发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严格遵循《个人信息保护法》及医疗数据安全规范，搭建全流程、全角色、全操作的数据隐私保护与审计体系，杜绝患者及医护隐私数据泄露风险。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敏感信息分级展示脱敏功能定制开发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基于角色权限配置敏感信息掩码规则，对患者姓名、手机号、身份证号等隐私字段实现分级展示。普通权限默认掩码展示，医生端查看完整隐私信息需权限二次验证，后台管理列表默认半脱敏展示，保障日常运维浏览安全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全业务动态脱敏与权限管控功能定制开发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针对患者信息、电子病历、医护人员信息等核心数据，根据操作人员权限自动适配脱敏规则，实现不同角色差异化数据展示。严格落实数据最小化采集、最小化展示原则，禁止原始隐私数据直接暴露。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数据导出脱敏与一致性保障功能定制开发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后台所有救援记录、病历数据、人员数据导出时，强制触发脱敏机制，支持姓名、证件号、联系方式等字段遮盖、替换、随机映射处理。脱敏后数据保持业务关联性与数据一致性，无错乱、无丢失，同时配套提供功能截图交付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全流程操作审计追踪功能定制开发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搭建全覆盖日志审计系统，对所有数据查看、新增、修改、导出、删除操作进行全程日志记录，包含操作人、操作时间、操作内容、IP地址等信息，支持多条件检索、溯源追踪，满足医疗数据安全审计要求。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五、系统性能与集成能力建设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保障系统高可用、高响应、高兼容，同时预留标准化院内系统对接能力，支撑后续业务拓展与院内数据互通。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系统性能适配优化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系统兼容主流微信版本、安卓及iOS移动端系统，对核心救援接口进行专项优化，保障核心救援接口响应时间小于1秒，实现地图定位、导航、数据上传、消息推送等功能流畅稳定运行。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院内系统集成建设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预留标准化通用接口，支持与医院集成平台、HIS、LIS等院内业务系统对接，可实现医院基础信息、血清库存数据的双向读取，以及蛇伤电子病历数据回传归档。本项目包含所有接口开发、适配与联调费用，无额外增项成本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六、网络安全、信创适配与运维保障建设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网络安全等级保护三级建设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系统整体按照网络安全等级保护三级标准规划、建设、交付，完成双因素身份认证、数据加密存储与传输、精细化访问控制、安全防护策略配置等全套安全能力建设，满足医疗行业网络安全合规要求。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全栈国产信创适配建设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系统全面兼容信创目录内国产服务器、国产操作系统、国产数据库，项目服务周期内免费配合业主完成系统国产化迁移、适配改造、兼容性调试，实现系统完全信创适配。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合规体系建设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全流程严格遵守《个人信息保护法》《网络安全法》《医疗卫生机构网络安全管理办法》等法规要求，默认启用数据脱敏、最小采集、权限管控策略，保障平台业务合法合规运行。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售后运维服务体系建设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提供不少于1年免费运维服务与安全漏洞修复服务，建立7×24小时紧急联系人机制，重大故障2小时内响应，及时处置系统故障、数据异常、安全漏洞等问题，保障平台长期稳定运行。</w:t>
            </w:r>
          </w:p>
          <w:p>
            <w:pPr>
              <w:spacing w:before="0" w:after="40" w:line="312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七、软件开发交付与服务要求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1. 交付物清单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中标供应商须向采购人交付本项目全部成果，包括但不限于：系统全部源代码（含自研部分及第三方组件清单）、数据库设计文档、系统概要及详细设计文档、接口文档、部署手册、测试方案及测试报告、操作手册、培训材料。交付物缺失的不予通过项目验收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2. 知识产权归属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本项目定制开发成果的著作权及相关知识产权归采购人所有，中标供应商须完整移交全部源代码及文档，不得留存、复制或将开发成果用于其他项目二次销售。开发过程中不得使用存在版权风险的第三方组件，因侵权产生的责任由中标供应商承担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3. 开发流程与工期要求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按照需求调研→需求确认→原型设计→迭代开发→系统测试→用户验收测试（UAT）→试运行→正式验收的流程组织实施，关键节点须经采购人书面确认后方可进入下一阶段。中标供应商须在合同签订后＿＿日内完成全部开发并交付上线（具体工期以合同约定为准），因供应商原因延误的按合同约定追责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4. 项目团队与人员要求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中标供应商须为本项目配备固定的开发团队，包括项目经理、需求分析师、前端及小程序开发工程师、后端开发工程师、UI设计师、测试工程师、安全工程师等岗位；核心开发人员开发期内保持稳定，确需更换的须经采购人书面同意；需求调研、部署实施、验收等关键阶段须按要求到采购人指定场所驻场实施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5. 测试与验收要求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中标供应商须完成单元测试、集成测试、性能测试、安全测试并出具测试报告。项目验收以本需求书为依据逐项演示确认，功能全部满足且通过网络安全等级保护三级测评及信创适配验证后，方可出具验收报告；验收发现缺陷的，中标供应商须无条件限期整改直至复验通过。</w:t>
            </w:r>
          </w:p>
          <w:p>
            <w:pPr>
              <w:spacing w:before="0" w:after="2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6. 报价构成要求</w:t>
            </w:r>
          </w:p>
          <w:p>
            <w:pPr>
              <w:spacing w:before="0" w:after="60" w:line="312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本项目按定制软件开发工作量报价，报价应包含软件开发、系统集成、院内接口对接、等保三级建设、信创适配、培训、上线部署及不少于1年免费运维等全部费用；不得以软件许可费、产品授权费、按用户数或按年计取的平台使用费等名义另行收费。</w:t>
            </w:r>
          </w:p>
        </w:tc>
      </w:tr>
      <w:tr>
        <w:trPr>
          <w:trHeight w:val="1814" w:hRule="atLeast"/>
        </w:trPr>
        <w:tc>
          <w:tcPr>
            <w:tcW w:type="dxa" w:w="2041"/>
            <w:vAlign w:val="center"/>
          </w:tcPr>
          <w:p/>
          <w:p>
            <w:pPr>
              <w:spacing w:before="0" w:after="0" w:line="312" w:lineRule="auto"/>
              <w:jc w:val="center"/>
            </w:pPr>
            <w:r>
              <w:rPr>
                <w:rFonts w:ascii="Times New Roman" w:hAnsi="Times New Roman" w:eastAsia="宋体"/>
                <w:b/>
                <w:sz w:val="28"/>
              </w:rPr>
              <w:t>信息工程师</w:t>
              <w:br/>
              <w:t>审核</w:t>
            </w:r>
          </w:p>
        </w:tc>
        <w:tc>
          <w:tcPr>
            <w:tcW w:type="dxa" w:w="7143"/>
          </w:tcPr>
          <w:p/>
          <w:p>
            <w:pPr>
              <w:spacing w:before="0" w:after="0" w:line="312" w:lineRule="auto"/>
            </w:pPr>
          </w:p>
          <w:p>
            <w:pPr>
              <w:spacing w:before="0" w:after="0" w:line="312" w:lineRule="auto"/>
            </w:pPr>
          </w:p>
          <w:p>
            <w:pPr>
              <w:spacing w:before="0" w:after="0" w:line="312" w:lineRule="auto"/>
            </w:pPr>
          </w:p>
          <w:p>
            <w:pPr>
              <w:spacing w:before="0" w:after="0" w:line="312" w:lineRule="auto"/>
            </w:pPr>
          </w:p>
        </w:tc>
      </w:tr>
    </w:tbl>
    <w:p>
      <w:pPr>
        <w:spacing w:after="0" w:before="0" w:line="240" w:lineRule="auto"/>
      </w:pPr>
      <w:r>
        <w:rPr>
          <w:sz w:val="4"/>
        </w:rPr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