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17693">
      <w:pPr>
        <w:numPr>
          <w:ilvl w:val="0"/>
          <w:numId w:val="0"/>
        </w:numPr>
        <w:jc w:val="center"/>
        <w:rPr>
          <w:rFonts w:hint="eastAsia" w:ascii="宋体" w:hAnsi="宋体" w:eastAsia="宋体" w:cs="宋体"/>
          <w:color w:val="000000"/>
          <w:sz w:val="30"/>
          <w:szCs w:val="30"/>
        </w:rPr>
      </w:pPr>
      <w:r>
        <w:rPr>
          <w:rFonts w:hint="eastAsia" w:ascii="宋体" w:hAnsi="宋体" w:eastAsia="宋体" w:cs="宋体"/>
          <w:color w:val="000000"/>
          <w:sz w:val="30"/>
          <w:szCs w:val="30"/>
        </w:rPr>
        <w:t>项目参数表</w:t>
      </w:r>
    </w:p>
    <w:tbl>
      <w:tblPr>
        <w:tblStyle w:val="5"/>
        <w:tblpPr w:leftFromText="180" w:rightFromText="180" w:vertAnchor="page" w:horzAnchor="page" w:tblpX="900" w:tblpY="2434"/>
        <w:tblOverlap w:val="never"/>
        <w:tblW w:w="105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8"/>
        <w:gridCol w:w="7661"/>
      </w:tblGrid>
      <w:tr w14:paraId="0DCA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2928" w:type="dxa"/>
            <w:vAlign w:val="center"/>
          </w:tcPr>
          <w:p w14:paraId="0D6330D0">
            <w:pPr>
              <w:numPr>
                <w:ilvl w:val="0"/>
                <w:numId w:val="0"/>
              </w:numPr>
              <w:rPr>
                <w:rFonts w:hint="eastAsia" w:ascii="宋体" w:hAnsi="宋体" w:eastAsia="宋体" w:cs="宋体"/>
                <w:color w:val="000000"/>
                <w:sz w:val="30"/>
                <w:szCs w:val="30"/>
              </w:rPr>
            </w:pPr>
            <w:r>
              <w:rPr>
                <w:rFonts w:hint="eastAsia" w:ascii="宋体" w:hAnsi="宋体" w:eastAsia="宋体" w:cs="宋体"/>
                <w:color w:val="000000"/>
                <w:sz w:val="30"/>
                <w:szCs w:val="30"/>
              </w:rPr>
              <w:t>项目名称</w:t>
            </w:r>
          </w:p>
        </w:tc>
        <w:tc>
          <w:tcPr>
            <w:tcW w:w="7661" w:type="dxa"/>
            <w:vAlign w:val="center"/>
          </w:tcPr>
          <w:p w14:paraId="31546598">
            <w:pPr>
              <w:numPr>
                <w:ilvl w:val="0"/>
                <w:numId w:val="0"/>
              </w:numPr>
              <w:rPr>
                <w:rFonts w:hint="eastAsia" w:ascii="宋体" w:hAnsi="宋体" w:eastAsia="宋体" w:cs="宋体"/>
                <w:color w:val="000000"/>
                <w:sz w:val="30"/>
                <w:szCs w:val="30"/>
              </w:rPr>
            </w:pPr>
            <w:r>
              <w:rPr>
                <w:rFonts w:hint="eastAsia" w:ascii="宋体" w:hAnsi="宋体" w:eastAsia="宋体" w:cs="宋体"/>
                <w:color w:val="000000"/>
                <w:sz w:val="30"/>
                <w:szCs w:val="30"/>
              </w:rPr>
              <w:t>亚华床头卡运维（三年）</w:t>
            </w:r>
          </w:p>
        </w:tc>
      </w:tr>
      <w:tr w14:paraId="0A2F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1" w:hRule="atLeast"/>
        </w:trPr>
        <w:tc>
          <w:tcPr>
            <w:tcW w:w="10589" w:type="dxa"/>
            <w:gridSpan w:val="2"/>
          </w:tcPr>
          <w:p w14:paraId="2CB7ED48">
            <w:pPr>
              <w:numPr>
                <w:ilvl w:val="0"/>
                <w:numId w:val="0"/>
              </w:numPr>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一、项目概况</w:t>
            </w:r>
          </w:p>
          <w:p w14:paraId="557D241A">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福建</w:t>
            </w:r>
            <w:r>
              <w:rPr>
                <w:rFonts w:hint="eastAsia" w:ascii="宋体" w:hAnsi="宋体" w:eastAsia="宋体" w:cs="宋体"/>
                <w:color w:val="000000"/>
                <w:sz w:val="30"/>
                <w:szCs w:val="30"/>
                <w:lang w:val="en-US" w:eastAsia="zh-CN"/>
              </w:rPr>
              <w:t>省</w:t>
            </w:r>
            <w:r>
              <w:rPr>
                <w:rFonts w:hint="eastAsia" w:ascii="宋体" w:hAnsi="宋体" w:eastAsia="宋体" w:cs="宋体"/>
                <w:color w:val="000000"/>
                <w:sz w:val="30"/>
                <w:szCs w:val="30"/>
              </w:rPr>
              <w:t>人民医院</w:t>
            </w:r>
            <w:r>
              <w:rPr>
                <w:rFonts w:hint="eastAsia" w:ascii="宋体" w:hAnsi="宋体" w:eastAsia="宋体" w:cs="宋体"/>
                <w:color w:val="000000"/>
                <w:sz w:val="30"/>
                <w:szCs w:val="30"/>
                <w:lang w:val="en-US" w:eastAsia="zh-CN"/>
              </w:rPr>
              <w:t>的</w:t>
            </w:r>
            <w:r>
              <w:rPr>
                <w:rFonts w:hint="eastAsia" w:ascii="宋体" w:hAnsi="宋体" w:eastAsia="宋体" w:cs="宋体"/>
                <w:color w:val="000000"/>
                <w:sz w:val="30"/>
                <w:szCs w:val="30"/>
              </w:rPr>
              <w:t>云枢病房服务交互</w:t>
            </w:r>
            <w:bookmarkStart w:id="0" w:name="_GoBack"/>
            <w:bookmarkEnd w:id="0"/>
            <w:r>
              <w:rPr>
                <w:rFonts w:hint="eastAsia" w:ascii="宋体" w:hAnsi="宋体" w:eastAsia="宋体" w:cs="宋体"/>
                <w:color w:val="000000"/>
                <w:sz w:val="30"/>
                <w:szCs w:val="30"/>
              </w:rPr>
              <w:t>系统，提高</w:t>
            </w:r>
            <w:r>
              <w:rPr>
                <w:rFonts w:hint="eastAsia" w:ascii="宋体" w:hAnsi="宋体" w:eastAsia="宋体" w:cs="宋体"/>
                <w:color w:val="000000"/>
                <w:sz w:val="30"/>
                <w:szCs w:val="30"/>
                <w:lang w:val="en-US" w:eastAsia="zh-CN"/>
              </w:rPr>
              <w:t>了</w:t>
            </w:r>
            <w:r>
              <w:rPr>
                <w:rFonts w:hint="eastAsia" w:ascii="宋体" w:hAnsi="宋体" w:eastAsia="宋体" w:cs="宋体"/>
                <w:color w:val="000000"/>
                <w:sz w:val="30"/>
                <w:szCs w:val="30"/>
              </w:rPr>
              <w:t>护理工作的自动化、数字化和人性化水平，减少医护人员的工作强度，提高医护服务效率，提升护理精准度，改善病患就诊体验，实现医院护理信息管理向病房延伸，提高医院智能化管理，在解决信息孤岛的问题中发挥着重要作用。</w:t>
            </w:r>
          </w:p>
          <w:p w14:paraId="0498C471">
            <w:pPr>
              <w:numPr>
                <w:ilvl w:val="0"/>
                <w:numId w:val="0"/>
              </w:numPr>
              <w:ind w:firstLine="600" w:firstLineChars="200"/>
              <w:rPr>
                <w:rFonts w:hint="default" w:ascii="宋体" w:hAnsi="宋体" w:eastAsia="宋体" w:cs="宋体"/>
                <w:color w:val="000000"/>
                <w:sz w:val="30"/>
                <w:szCs w:val="30"/>
                <w:lang w:val="en-US" w:eastAsia="zh-CN"/>
              </w:rPr>
            </w:pPr>
            <w:r>
              <w:rPr>
                <w:rFonts w:hint="default" w:ascii="宋体" w:hAnsi="宋体" w:eastAsia="宋体" w:cs="宋体"/>
                <w:color w:val="000000"/>
                <w:sz w:val="30"/>
                <w:szCs w:val="30"/>
                <w:lang w:val="en-US" w:eastAsia="zh-CN"/>
              </w:rPr>
              <w:t>本项目为确保</w:t>
            </w:r>
            <w:r>
              <w:rPr>
                <w:rFonts w:hint="eastAsia" w:ascii="宋体" w:hAnsi="宋体" w:eastAsia="宋体" w:cs="宋体"/>
                <w:color w:val="000000"/>
                <w:sz w:val="30"/>
                <w:szCs w:val="30"/>
              </w:rPr>
              <w:t>福建</w:t>
            </w:r>
            <w:r>
              <w:rPr>
                <w:rFonts w:hint="eastAsia" w:ascii="宋体" w:hAnsi="宋体" w:eastAsia="宋体" w:cs="宋体"/>
                <w:color w:val="000000"/>
                <w:sz w:val="30"/>
                <w:szCs w:val="30"/>
                <w:lang w:val="en-US" w:eastAsia="zh-CN"/>
              </w:rPr>
              <w:t>省省人民医</w:t>
            </w:r>
            <w:r>
              <w:rPr>
                <w:rFonts w:hint="default" w:ascii="宋体" w:hAnsi="宋体" w:eastAsia="宋体" w:cs="宋体"/>
                <w:color w:val="000000"/>
                <w:sz w:val="30"/>
                <w:szCs w:val="30"/>
                <w:lang w:val="en-US" w:eastAsia="zh-CN"/>
              </w:rPr>
              <w:t>院云枢病房服务交互系统的稳定运行</w:t>
            </w:r>
            <w:r>
              <w:rPr>
                <w:rFonts w:hint="eastAsia" w:ascii="宋体" w:hAnsi="宋体" w:eastAsia="宋体" w:cs="宋体"/>
                <w:color w:val="000000"/>
                <w:sz w:val="30"/>
                <w:szCs w:val="30"/>
                <w:lang w:val="en-US" w:eastAsia="zh-CN"/>
              </w:rPr>
              <w:t>，推出该院的年</w:t>
            </w:r>
            <w:r>
              <w:rPr>
                <w:rFonts w:hint="default" w:ascii="宋体" w:hAnsi="宋体" w:eastAsia="宋体" w:cs="宋体"/>
                <w:color w:val="000000"/>
                <w:sz w:val="30"/>
                <w:szCs w:val="30"/>
                <w:lang w:val="en-US" w:eastAsia="zh-CN"/>
              </w:rPr>
              <w:t>维保项目，具体内容如下：</w:t>
            </w:r>
          </w:p>
          <w:p w14:paraId="0D063375">
            <w:pPr>
              <w:numPr>
                <w:ilvl w:val="0"/>
                <w:numId w:val="0"/>
              </w:numPr>
              <w:ind w:firstLine="600" w:firstLineChars="200"/>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1.服务内容：本项目为</w:t>
            </w:r>
            <w:r>
              <w:rPr>
                <w:rFonts w:hint="default" w:ascii="宋体" w:hAnsi="宋体" w:eastAsia="宋体" w:cs="宋体"/>
                <w:color w:val="000000"/>
                <w:sz w:val="30"/>
                <w:szCs w:val="30"/>
                <w:lang w:val="en-US" w:eastAsia="zh-CN"/>
              </w:rPr>
              <w:t>云枢病房服务交互系统</w:t>
            </w:r>
            <w:r>
              <w:rPr>
                <w:rFonts w:hint="eastAsia" w:ascii="宋体" w:hAnsi="宋体" w:eastAsia="宋体" w:cs="宋体"/>
                <w:color w:val="000000"/>
                <w:sz w:val="30"/>
                <w:szCs w:val="30"/>
                <w:lang w:val="en-US" w:eastAsia="zh-CN"/>
              </w:rPr>
              <w:t>及其设备的维修、维护。服务期限内，须根据采购人的需求上门维修更换设备，提供定期巡检服务、软件个性化订制、修改及实施工作。提供的维保方案须具备全面性、灵活性，旨在确保系统运行期间保持最佳状态，为医院的信息化工作提供持续支持。</w:t>
            </w:r>
          </w:p>
          <w:p w14:paraId="788C4DEC">
            <w:pPr>
              <w:numPr>
                <w:ilvl w:val="0"/>
                <w:numId w:val="0"/>
              </w:numPr>
              <w:ind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rPr>
              <w:t>2.本项目维保清单详见下表，该清单并未全部列出系统正常运行所需的设备，服务期内须根据系统运行情况对设备进行维修、维护</w:t>
            </w:r>
            <w:r>
              <w:rPr>
                <w:rFonts w:hint="eastAsia" w:ascii="宋体" w:hAnsi="宋体" w:eastAsia="宋体" w:cs="宋体"/>
                <w:color w:val="000000"/>
                <w:sz w:val="30"/>
                <w:szCs w:val="30"/>
                <w:lang w:eastAsia="zh-CN"/>
              </w:rPr>
              <w:t>。</w:t>
            </w:r>
          </w:p>
          <w:p w14:paraId="09ADAFEC">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lang w:val="en-US" w:eastAsia="zh-CN"/>
              </w:rPr>
              <w:t>主要</w:t>
            </w:r>
            <w:r>
              <w:rPr>
                <w:rFonts w:hint="eastAsia" w:ascii="宋体" w:hAnsi="宋体" w:eastAsia="宋体" w:cs="宋体"/>
                <w:color w:val="000000"/>
                <w:sz w:val="30"/>
                <w:szCs w:val="30"/>
              </w:rPr>
              <w:t>维保设备清单：</w:t>
            </w:r>
          </w:p>
          <w:tbl>
            <w:tblPr>
              <w:tblStyle w:val="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2265"/>
              <w:gridCol w:w="2651"/>
              <w:gridCol w:w="1952"/>
              <w:gridCol w:w="1003"/>
              <w:gridCol w:w="1450"/>
            </w:tblGrid>
            <w:tr w14:paraId="31E9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23F5AEE7">
                  <w:pPr>
                    <w:spacing w:line="360" w:lineRule="exact"/>
                    <w:ind w:left="-126"/>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序号</w:t>
                  </w:r>
                </w:p>
              </w:tc>
              <w:tc>
                <w:tcPr>
                  <w:tcW w:w="1093" w:type="pct"/>
                  <w:noWrap w:val="0"/>
                  <w:vAlign w:val="center"/>
                </w:tcPr>
                <w:p w14:paraId="741D1064">
                  <w:pPr>
                    <w:spacing w:line="360" w:lineRule="exact"/>
                    <w:ind w:left="-126"/>
                    <w:jc w:val="center"/>
                    <w:rPr>
                      <w:rFonts w:hint="eastAsia" w:ascii="宋体" w:hAnsi="宋体" w:eastAsia="宋体" w:cs="宋体"/>
                      <w:b/>
                      <w:bCs/>
                      <w:sz w:val="28"/>
                      <w:szCs w:val="28"/>
                    </w:rPr>
                  </w:pPr>
                  <w:r>
                    <w:rPr>
                      <w:rFonts w:hint="eastAsia" w:ascii="宋体" w:hAnsi="宋体" w:eastAsia="宋体" w:cs="宋体"/>
                      <w:b/>
                      <w:bCs/>
                      <w:sz w:val="28"/>
                      <w:szCs w:val="28"/>
                    </w:rPr>
                    <w:t>设备名称</w:t>
                  </w:r>
                </w:p>
              </w:tc>
              <w:tc>
                <w:tcPr>
                  <w:tcW w:w="1279" w:type="pct"/>
                  <w:noWrap w:val="0"/>
                  <w:vAlign w:val="center"/>
                </w:tcPr>
                <w:p w14:paraId="75685D66">
                  <w:pPr>
                    <w:spacing w:line="360" w:lineRule="exact"/>
                    <w:ind w:left="-126"/>
                    <w:jc w:val="center"/>
                    <w:rPr>
                      <w:rFonts w:hint="eastAsia" w:ascii="宋体" w:hAnsi="宋体" w:eastAsia="宋体" w:cs="宋体"/>
                      <w:b/>
                      <w:bCs/>
                      <w:sz w:val="28"/>
                      <w:szCs w:val="28"/>
                    </w:rPr>
                  </w:pPr>
                  <w:r>
                    <w:rPr>
                      <w:rFonts w:hint="eastAsia" w:ascii="宋体" w:hAnsi="宋体" w:eastAsia="宋体" w:cs="宋体"/>
                      <w:b/>
                      <w:bCs/>
                      <w:color w:val="auto"/>
                      <w:sz w:val="28"/>
                      <w:szCs w:val="28"/>
                      <w:highlight w:val="none"/>
                      <w:lang w:val="en-US" w:eastAsia="zh-CN"/>
                    </w:rPr>
                    <w:t>生产厂家</w:t>
                  </w:r>
                </w:p>
              </w:tc>
              <w:tc>
                <w:tcPr>
                  <w:tcW w:w="942" w:type="pct"/>
                  <w:noWrap w:val="0"/>
                  <w:vAlign w:val="center"/>
                </w:tcPr>
                <w:p w14:paraId="642DDF61">
                  <w:pPr>
                    <w:spacing w:line="360" w:lineRule="exact"/>
                    <w:ind w:left="-126"/>
                    <w:jc w:val="center"/>
                    <w:rPr>
                      <w:rFonts w:hint="eastAsia" w:ascii="宋体" w:hAnsi="宋体" w:eastAsia="宋体" w:cs="宋体"/>
                      <w:b/>
                      <w:bCs/>
                      <w:sz w:val="28"/>
                      <w:szCs w:val="28"/>
                    </w:rPr>
                  </w:pPr>
                  <w:r>
                    <w:rPr>
                      <w:rFonts w:hint="eastAsia" w:ascii="宋体" w:hAnsi="宋体" w:eastAsia="宋体" w:cs="宋体"/>
                      <w:b/>
                      <w:bCs/>
                      <w:sz w:val="28"/>
                      <w:szCs w:val="28"/>
                    </w:rPr>
                    <w:t>型号</w:t>
                  </w:r>
                </w:p>
              </w:tc>
              <w:tc>
                <w:tcPr>
                  <w:tcW w:w="484" w:type="pct"/>
                  <w:noWrap w:val="0"/>
                  <w:vAlign w:val="center"/>
                </w:tcPr>
                <w:p w14:paraId="1A718D2F">
                  <w:pPr>
                    <w:spacing w:line="360" w:lineRule="exact"/>
                    <w:ind w:left="-126"/>
                    <w:jc w:val="center"/>
                    <w:rPr>
                      <w:rFonts w:hint="eastAsia" w:ascii="宋体" w:hAnsi="宋体" w:eastAsia="宋体" w:cs="宋体"/>
                      <w:b/>
                      <w:bCs/>
                      <w:sz w:val="28"/>
                      <w:szCs w:val="28"/>
                    </w:rPr>
                  </w:pPr>
                  <w:r>
                    <w:rPr>
                      <w:rFonts w:hint="eastAsia" w:ascii="宋体" w:hAnsi="宋体" w:eastAsia="宋体" w:cs="宋体"/>
                      <w:b/>
                      <w:bCs/>
                      <w:sz w:val="28"/>
                      <w:szCs w:val="28"/>
                    </w:rPr>
                    <w:t>单位</w:t>
                  </w:r>
                </w:p>
              </w:tc>
              <w:tc>
                <w:tcPr>
                  <w:tcW w:w="699" w:type="pct"/>
                  <w:noWrap w:val="0"/>
                  <w:vAlign w:val="center"/>
                </w:tcPr>
                <w:p w14:paraId="75BC18A6">
                  <w:pPr>
                    <w:spacing w:line="360" w:lineRule="exact"/>
                    <w:ind w:left="-126"/>
                    <w:jc w:val="center"/>
                    <w:rPr>
                      <w:rFonts w:hint="eastAsia" w:ascii="宋体" w:hAnsi="宋体" w:eastAsia="宋体" w:cs="宋体"/>
                      <w:b/>
                      <w:bCs/>
                      <w:sz w:val="28"/>
                      <w:szCs w:val="28"/>
                    </w:rPr>
                  </w:pPr>
                  <w:r>
                    <w:rPr>
                      <w:rFonts w:hint="eastAsia" w:ascii="宋体" w:hAnsi="宋体" w:eastAsia="宋体" w:cs="宋体"/>
                      <w:b/>
                      <w:bCs/>
                      <w:sz w:val="28"/>
                      <w:szCs w:val="28"/>
                    </w:rPr>
                    <w:t>数量</w:t>
                  </w:r>
                </w:p>
              </w:tc>
            </w:tr>
            <w:tr w14:paraId="432F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289E2B65">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093" w:type="pct"/>
                  <w:noWrap w:val="0"/>
                  <w:vAlign w:val="center"/>
                </w:tcPr>
                <w:p w14:paraId="4BB3F3F7">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云枢病房服务交互系统软件</w:t>
                  </w:r>
                </w:p>
              </w:tc>
              <w:tc>
                <w:tcPr>
                  <w:tcW w:w="1279" w:type="pct"/>
                  <w:noWrap w:val="0"/>
                  <w:vAlign w:val="center"/>
                </w:tcPr>
                <w:p w14:paraId="2E5E8053">
                  <w:pPr>
                    <w:spacing w:line="360" w:lineRule="exact"/>
                    <w:ind w:left="-126"/>
                    <w:jc w:val="center"/>
                    <w:rPr>
                      <w:rFonts w:hint="eastAsia" w:ascii="宋体" w:hAnsi="宋体" w:eastAsia="宋体" w:cs="宋体"/>
                      <w:sz w:val="24"/>
                      <w:szCs w:val="24"/>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4B6854B3">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YH-A10HC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V3</w:t>
                  </w:r>
                </w:p>
              </w:tc>
              <w:tc>
                <w:tcPr>
                  <w:tcW w:w="484" w:type="pct"/>
                  <w:noWrap w:val="0"/>
                  <w:vAlign w:val="center"/>
                </w:tcPr>
                <w:p w14:paraId="6D44EDCF">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rPr>
                    <w:t>套</w:t>
                  </w:r>
                </w:p>
              </w:tc>
              <w:tc>
                <w:tcPr>
                  <w:tcW w:w="699" w:type="pct"/>
                  <w:noWrap w:val="0"/>
                  <w:vAlign w:val="center"/>
                </w:tcPr>
                <w:p w14:paraId="04EBC884">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6EC7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1B6F469D">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093" w:type="pct"/>
                  <w:noWrap w:val="0"/>
                  <w:vAlign w:val="center"/>
                </w:tcPr>
                <w:p w14:paraId="2A1E9F3C">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医护主机</w:t>
                  </w:r>
                </w:p>
              </w:tc>
              <w:tc>
                <w:tcPr>
                  <w:tcW w:w="1279" w:type="pct"/>
                  <w:noWrap w:val="0"/>
                  <w:vAlign w:val="center"/>
                </w:tcPr>
                <w:p w14:paraId="51959A77">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6CE0B7EC">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rPr>
                    <w:t>YH-A10C</w:t>
                  </w:r>
                </w:p>
              </w:tc>
              <w:tc>
                <w:tcPr>
                  <w:tcW w:w="484" w:type="pct"/>
                  <w:noWrap w:val="0"/>
                  <w:vAlign w:val="center"/>
                </w:tcPr>
                <w:p w14:paraId="4B605E48">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rPr>
                    <w:t>台</w:t>
                  </w:r>
                </w:p>
              </w:tc>
              <w:tc>
                <w:tcPr>
                  <w:tcW w:w="699" w:type="pct"/>
                  <w:noWrap w:val="0"/>
                  <w:vAlign w:val="center"/>
                </w:tcPr>
                <w:p w14:paraId="59A9F165">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14:paraId="106A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6F39F134">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093" w:type="pct"/>
                  <w:noWrap w:val="0"/>
                  <w:vAlign w:val="center"/>
                </w:tcPr>
                <w:p w14:paraId="49FB4B10">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床头分机</w:t>
                  </w:r>
                </w:p>
              </w:tc>
              <w:tc>
                <w:tcPr>
                  <w:tcW w:w="1279" w:type="pct"/>
                  <w:noWrap w:val="0"/>
                  <w:vAlign w:val="center"/>
                </w:tcPr>
                <w:p w14:paraId="244709B7">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6FCE348C">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rPr>
                    <w:t>YH-6297i</w:t>
                  </w:r>
                </w:p>
              </w:tc>
              <w:tc>
                <w:tcPr>
                  <w:tcW w:w="484" w:type="pct"/>
                  <w:noWrap w:val="0"/>
                  <w:vAlign w:val="center"/>
                </w:tcPr>
                <w:p w14:paraId="384F5BA7">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门</w:t>
                  </w:r>
                </w:p>
              </w:tc>
              <w:tc>
                <w:tcPr>
                  <w:tcW w:w="699" w:type="pct"/>
                  <w:noWrap w:val="0"/>
                  <w:vAlign w:val="center"/>
                </w:tcPr>
                <w:p w14:paraId="64F1E101">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191</w:t>
                  </w:r>
                </w:p>
              </w:tc>
            </w:tr>
            <w:tr w14:paraId="442B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23105B19">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093" w:type="pct"/>
                  <w:noWrap w:val="0"/>
                  <w:vAlign w:val="center"/>
                </w:tcPr>
                <w:p w14:paraId="7894C5EA">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门口分机</w:t>
                  </w:r>
                </w:p>
              </w:tc>
              <w:tc>
                <w:tcPr>
                  <w:tcW w:w="1279" w:type="pct"/>
                  <w:noWrap w:val="0"/>
                  <w:vAlign w:val="center"/>
                </w:tcPr>
                <w:p w14:paraId="0E214DAC">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5B8CA400">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rPr>
                    <w:t>YH-6267i</w:t>
                  </w:r>
                </w:p>
              </w:tc>
              <w:tc>
                <w:tcPr>
                  <w:tcW w:w="484" w:type="pct"/>
                  <w:noWrap w:val="0"/>
                  <w:vAlign w:val="center"/>
                </w:tcPr>
                <w:p w14:paraId="74D07B32">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门</w:t>
                  </w:r>
                </w:p>
              </w:tc>
              <w:tc>
                <w:tcPr>
                  <w:tcW w:w="699" w:type="pct"/>
                  <w:noWrap w:val="0"/>
                  <w:vAlign w:val="center"/>
                </w:tcPr>
                <w:p w14:paraId="67FDAB63">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w:t>
                  </w:r>
                </w:p>
              </w:tc>
            </w:tr>
            <w:tr w14:paraId="0895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35765685">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093" w:type="pct"/>
                  <w:noWrap w:val="0"/>
                  <w:vAlign w:val="center"/>
                </w:tcPr>
                <w:p w14:paraId="09BD0B3C">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卫生间分机</w:t>
                  </w:r>
                </w:p>
              </w:tc>
              <w:tc>
                <w:tcPr>
                  <w:tcW w:w="1279" w:type="pct"/>
                  <w:noWrap w:val="0"/>
                  <w:vAlign w:val="center"/>
                </w:tcPr>
                <w:p w14:paraId="4185EBBB">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63151710">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rPr>
                    <w:t>YH-A</w:t>
                  </w:r>
                  <w:r>
                    <w:rPr>
                      <w:rFonts w:hint="eastAsia" w:ascii="宋体" w:hAnsi="宋体" w:eastAsia="宋体" w:cs="宋体"/>
                      <w:sz w:val="24"/>
                      <w:szCs w:val="24"/>
                      <w:lang w:val="en-US" w:eastAsia="zh-CN"/>
                    </w:rPr>
                    <w:t>2</w:t>
                  </w:r>
                  <w:r>
                    <w:rPr>
                      <w:rFonts w:hint="eastAsia" w:ascii="宋体" w:hAnsi="宋体" w:eastAsia="宋体" w:cs="宋体"/>
                      <w:sz w:val="24"/>
                      <w:szCs w:val="24"/>
                    </w:rPr>
                    <w:t>7L</w:t>
                  </w:r>
                </w:p>
              </w:tc>
              <w:tc>
                <w:tcPr>
                  <w:tcW w:w="484" w:type="pct"/>
                  <w:noWrap w:val="0"/>
                  <w:vAlign w:val="center"/>
                </w:tcPr>
                <w:p w14:paraId="231EF765">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门</w:t>
                  </w:r>
                </w:p>
              </w:tc>
              <w:tc>
                <w:tcPr>
                  <w:tcW w:w="699" w:type="pct"/>
                  <w:noWrap w:val="0"/>
                  <w:vAlign w:val="center"/>
                </w:tcPr>
                <w:p w14:paraId="4E211E3B">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w:t>
                  </w:r>
                </w:p>
              </w:tc>
            </w:tr>
            <w:tr w14:paraId="4BA7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02FD5DC8">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093" w:type="pct"/>
                  <w:noWrap w:val="0"/>
                  <w:vAlign w:val="center"/>
                </w:tcPr>
                <w:p w14:paraId="402BFAEE">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走廊显示屏</w:t>
                  </w:r>
                </w:p>
              </w:tc>
              <w:tc>
                <w:tcPr>
                  <w:tcW w:w="1279" w:type="pct"/>
                  <w:noWrap w:val="0"/>
                  <w:vAlign w:val="center"/>
                </w:tcPr>
                <w:p w14:paraId="18BE879D">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180687C1">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YH-D208SN</w:t>
                  </w:r>
                </w:p>
              </w:tc>
              <w:tc>
                <w:tcPr>
                  <w:tcW w:w="484" w:type="pct"/>
                  <w:noWrap w:val="0"/>
                  <w:vAlign w:val="center"/>
                </w:tcPr>
                <w:p w14:paraId="44D06A69">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rPr>
                    <w:t>台</w:t>
                  </w:r>
                </w:p>
              </w:tc>
              <w:tc>
                <w:tcPr>
                  <w:tcW w:w="699" w:type="pct"/>
                  <w:noWrap w:val="0"/>
                  <w:vAlign w:val="center"/>
                </w:tcPr>
                <w:p w14:paraId="0C78BB0B">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14:paraId="735B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31699C61">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093" w:type="pct"/>
                  <w:noWrap w:val="0"/>
                  <w:vAlign w:val="center"/>
                </w:tcPr>
                <w:p w14:paraId="459D79B0">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病区门禁分机</w:t>
                  </w:r>
                </w:p>
              </w:tc>
              <w:tc>
                <w:tcPr>
                  <w:tcW w:w="1279" w:type="pct"/>
                  <w:noWrap w:val="0"/>
                  <w:vAlign w:val="center"/>
                </w:tcPr>
                <w:p w14:paraId="1F01A48B">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412D055B">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sz w:val="24"/>
                      <w:szCs w:val="24"/>
                    </w:rPr>
                    <w:t>YH-A</w:t>
                  </w:r>
                  <w:r>
                    <w:rPr>
                      <w:rFonts w:hint="eastAsia" w:ascii="宋体" w:hAnsi="宋体" w:eastAsia="宋体" w:cs="宋体"/>
                      <w:sz w:val="24"/>
                      <w:szCs w:val="24"/>
                      <w:lang w:val="en-US" w:eastAsia="zh-CN"/>
                    </w:rPr>
                    <w:t>23</w:t>
                  </w:r>
                  <w:r>
                    <w:rPr>
                      <w:rFonts w:hint="eastAsia" w:ascii="宋体" w:hAnsi="宋体" w:eastAsia="宋体" w:cs="宋体"/>
                      <w:sz w:val="24"/>
                      <w:szCs w:val="24"/>
                    </w:rPr>
                    <w:t>C</w:t>
                  </w:r>
                </w:p>
              </w:tc>
              <w:tc>
                <w:tcPr>
                  <w:tcW w:w="484" w:type="pct"/>
                  <w:noWrap w:val="0"/>
                  <w:vAlign w:val="center"/>
                </w:tcPr>
                <w:p w14:paraId="4419CD35">
                  <w:pPr>
                    <w:widowControl/>
                    <w:jc w:val="center"/>
                    <w:textAlignment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门</w:t>
                  </w:r>
                </w:p>
              </w:tc>
              <w:tc>
                <w:tcPr>
                  <w:tcW w:w="699" w:type="pct"/>
                  <w:noWrap w:val="0"/>
                  <w:vAlign w:val="center"/>
                </w:tcPr>
                <w:p w14:paraId="14D10F1E">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14:paraId="23D4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3D883B9F">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093" w:type="pct"/>
                  <w:noWrap w:val="0"/>
                  <w:vAlign w:val="center"/>
                </w:tcPr>
                <w:p w14:paraId="707C5F42">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网络多媒体控制器</w:t>
                  </w:r>
                </w:p>
              </w:tc>
              <w:tc>
                <w:tcPr>
                  <w:tcW w:w="1279" w:type="pct"/>
                  <w:noWrap w:val="0"/>
                  <w:vAlign w:val="center"/>
                </w:tcPr>
                <w:p w14:paraId="61DC2A34">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5F7B7B19">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YH-NC2-N</w:t>
                  </w:r>
                </w:p>
              </w:tc>
              <w:tc>
                <w:tcPr>
                  <w:tcW w:w="484" w:type="pct"/>
                  <w:noWrap w:val="0"/>
                  <w:vAlign w:val="center"/>
                </w:tcPr>
                <w:p w14:paraId="4665F963">
                  <w:pPr>
                    <w:widowControl/>
                    <w:jc w:val="center"/>
                    <w:textAlignment w:val="center"/>
                    <w:rPr>
                      <w:rFonts w:hint="eastAsia" w:ascii="宋体" w:hAnsi="宋体" w:eastAsia="宋体" w:cs="宋体"/>
                      <w:sz w:val="24"/>
                      <w:szCs w:val="24"/>
                    </w:rPr>
                  </w:pPr>
                  <w:r>
                    <w:rPr>
                      <w:rFonts w:hint="eastAsia" w:ascii="宋体" w:hAnsi="宋体" w:eastAsia="宋体" w:cs="宋体"/>
                      <w:sz w:val="24"/>
                      <w:szCs w:val="24"/>
                    </w:rPr>
                    <w:t>台</w:t>
                  </w:r>
                </w:p>
              </w:tc>
              <w:tc>
                <w:tcPr>
                  <w:tcW w:w="699" w:type="pct"/>
                  <w:noWrap w:val="0"/>
                  <w:vAlign w:val="center"/>
                </w:tcPr>
                <w:p w14:paraId="7F0D8080">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14:paraId="365A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 w:type="pct"/>
                  <w:noWrap w:val="0"/>
                  <w:vAlign w:val="center"/>
                </w:tcPr>
                <w:p w14:paraId="5DD284A2">
                  <w:pPr>
                    <w:spacing w:line="360" w:lineRule="exact"/>
                    <w:ind w:left="-12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1093" w:type="pct"/>
                  <w:noWrap w:val="0"/>
                  <w:vAlign w:val="center"/>
                </w:tcPr>
                <w:p w14:paraId="25A6ED73">
                  <w:pPr>
                    <w:spacing w:line="360" w:lineRule="exact"/>
                    <w:ind w:left="-126"/>
                    <w:jc w:val="center"/>
                    <w:rPr>
                      <w:rFonts w:hint="eastAsia" w:ascii="宋体" w:hAnsi="宋体" w:eastAsia="宋体" w:cs="宋体"/>
                      <w:sz w:val="24"/>
                      <w:szCs w:val="24"/>
                    </w:rPr>
                  </w:pPr>
                  <w:r>
                    <w:rPr>
                      <w:rFonts w:hint="eastAsia" w:ascii="宋体" w:hAnsi="宋体" w:eastAsia="宋体" w:cs="宋体"/>
                      <w:sz w:val="24"/>
                      <w:szCs w:val="24"/>
                    </w:rPr>
                    <w:t>外置电源</w:t>
                  </w:r>
                </w:p>
              </w:tc>
              <w:tc>
                <w:tcPr>
                  <w:tcW w:w="1279" w:type="pct"/>
                  <w:noWrap w:val="0"/>
                  <w:vAlign w:val="center"/>
                </w:tcPr>
                <w:p w14:paraId="39958156">
                  <w:pPr>
                    <w:widowControl/>
                    <w:jc w:val="center"/>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山东亚华电子股份有限公司</w:t>
                  </w:r>
                </w:p>
              </w:tc>
              <w:tc>
                <w:tcPr>
                  <w:tcW w:w="942" w:type="pct"/>
                  <w:noWrap w:val="0"/>
                  <w:vAlign w:val="center"/>
                </w:tcPr>
                <w:p w14:paraId="6029E4B0">
                  <w:pPr>
                    <w:widowControl/>
                    <w:jc w:val="center"/>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YT-P200</w:t>
                  </w:r>
                </w:p>
              </w:tc>
              <w:tc>
                <w:tcPr>
                  <w:tcW w:w="484" w:type="pct"/>
                  <w:noWrap w:val="0"/>
                  <w:vAlign w:val="center"/>
                </w:tcPr>
                <w:p w14:paraId="5D8CD4F3">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个</w:t>
                  </w:r>
                </w:p>
              </w:tc>
              <w:tc>
                <w:tcPr>
                  <w:tcW w:w="699" w:type="pct"/>
                  <w:noWrap w:val="0"/>
                  <w:vAlign w:val="center"/>
                </w:tcPr>
                <w:p w14:paraId="61A863FF">
                  <w:pPr>
                    <w:widowControl/>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r>
          </w:tbl>
          <w:p w14:paraId="53BC6B53">
            <w:pPr>
              <w:numPr>
                <w:ilvl w:val="0"/>
                <w:numId w:val="0"/>
              </w:numPr>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二、服务内容及要求</w:t>
            </w:r>
          </w:p>
          <w:p w14:paraId="51B2F5C0">
            <w:pPr>
              <w:numPr>
                <w:ilvl w:val="0"/>
                <w:numId w:val="0"/>
              </w:numPr>
              <w:ind w:firstLine="600" w:firstLineChars="200"/>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1.供应商须具备满足本项目运维服务要求的软硬件设备安装调试与维护等工作要求所需数量的技术人员，提供运维服务质量保障方案，建立完善的运维服务管理体系及拥有专业的维护队伍，保证系统的正常运行措施，运维期内提供技术支持、保修、系统升级和维护，系统维护完成后须提供完整的技术文档。</w:t>
            </w:r>
          </w:p>
          <w:p w14:paraId="3187258D">
            <w:pPr>
              <w:numPr>
                <w:ilvl w:val="0"/>
                <w:numId w:val="0"/>
              </w:numPr>
              <w:ind w:firstLine="600" w:firstLineChars="200"/>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2.供应商须对采购人人员进行故障处理培训，避免因成交供应商响应不及时造成影响，经培训的人员须能处理简单故障。</w:t>
            </w:r>
          </w:p>
          <w:p w14:paraId="25C5E6A8">
            <w:pPr>
              <w:numPr>
                <w:ilvl w:val="0"/>
                <w:numId w:val="0"/>
              </w:numPr>
              <w:ind w:firstLine="600" w:firstLineChars="200"/>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 xml:space="preserve">3.供应商应负责相关接口工作（若有），使其与采购人院内其他设备相协调。 </w:t>
            </w:r>
          </w:p>
          <w:p w14:paraId="0C4D14BD">
            <w:pPr>
              <w:numPr>
                <w:ilvl w:val="0"/>
                <w:numId w:val="0"/>
              </w:numPr>
              <w:ind w:firstLine="600" w:firstLineChars="200"/>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4.系统的日常运行、使用管理由采购人负责，供应商未经采购人书面许可，不得随意变更原系统的软硬件设置，不得随意对系统进行修改等操作。</w:t>
            </w:r>
          </w:p>
          <w:p w14:paraId="01D143F3">
            <w:pPr>
              <w:numPr>
                <w:ilvl w:val="0"/>
                <w:numId w:val="0"/>
              </w:numPr>
              <w:ind w:firstLine="600" w:firstLineChars="200"/>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5.供应商须提供7*24小时的服务，在故障发生后1小时内响应并进行远程处理，远程无法修复的在故障发生后24小时内赶到现场处理，4小时内维修完毕；对于无法在规定时间内修复的，须提供与现有设备同等技术参数或以上的备品备件替换运行。</w:t>
            </w:r>
          </w:p>
          <w:p w14:paraId="28A0C9AF">
            <w:pPr>
              <w:numPr>
                <w:ilvl w:val="0"/>
                <w:numId w:val="0"/>
              </w:numPr>
              <w:ind w:firstLine="600" w:firstLineChars="200"/>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6.故障设备维修处理（含维修、寄送、老化或损坏报废更换等）由成交供应商承担，对于无法维修或维修3次以上的配件，成交供应商须提供与现有设备同等技术参数或以上的备品备件进行更换，且必须与现有系统兼容。</w:t>
            </w:r>
          </w:p>
          <w:p w14:paraId="032F3F10">
            <w:pPr>
              <w:numPr>
                <w:ilvl w:val="0"/>
                <w:numId w:val="0"/>
              </w:numPr>
              <w:ind w:firstLine="600" w:firstLineChars="200"/>
              <w:rPr>
                <w:rFonts w:hint="default"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7.供应商须开展定期现场巡检，服务期内提供不少于2次现场巡检。供应商须准确地记录上门巡检、维保的内容时间、故障维修的内容时间，同时准确系统地建立服务过程中的文档和记录，并出具维保、巡检报告。</w:t>
            </w:r>
          </w:p>
          <w:p w14:paraId="7FF4E99B">
            <w:pPr>
              <w:numPr>
                <w:ilvl w:val="0"/>
                <w:numId w:val="0"/>
              </w:numPr>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三、技术响应要求</w:t>
            </w:r>
          </w:p>
          <w:p w14:paraId="477A8A26">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1.保障软件的正常运行，对软件中存在的缺陷进行升级和优化，确保软件的正常使用。</w:t>
            </w:r>
          </w:p>
          <w:p w14:paraId="266D53F4">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2.软件运行过程中新发现的软件错误，供应商负责维护并及时改进，同时向采购人提供软件维护说明；如发现系统安全漏洞，供应商需在规定时间内完成系统安全漏洞整改，并按要求提供整改报告。</w:t>
            </w:r>
          </w:p>
          <w:p w14:paraId="2186155C">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3.负责软件更改后造成软件操作变化的使用培训，同时向采购人提供新功能使用说明。</w:t>
            </w:r>
          </w:p>
          <w:p w14:paraId="14D088C4">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4.供应商配合采购人解决系统运行过程中由于网络、服务器、计算机、操作系统等原因所产生的软件无法正常运行的情况，保障系统的正常运行，并在完成故障处理后出具产品维护报告，包含问题的原因、解决办法及建议。</w:t>
            </w:r>
          </w:p>
          <w:p w14:paraId="26077567">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5.主要维保设备及服务内容：</w:t>
            </w:r>
          </w:p>
          <w:p w14:paraId="694F04AC">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1）医护主机:放置在护士站，显示界面清晰，按键灵敏，对讲声音清晰。</w:t>
            </w:r>
          </w:p>
          <w:p w14:paraId="6DB3CC16">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2）门口分机:显示屏显示正常，无黑屏、花屏、闪屏等问题，按键灵活，回弹正常，无卡键问题。</w:t>
            </w:r>
          </w:p>
          <w:p w14:paraId="2BDD488D">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3）床头分机 :安装在设备带上，按键灵敏，对讲声音清晰，液晶显示清晰。</w:t>
            </w:r>
          </w:p>
          <w:p w14:paraId="32604CCF">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4）走廊显示屏：保持显示屏运行稳定，无缺笔画、暗亮等显示不全的情况。</w:t>
            </w:r>
          </w:p>
          <w:p w14:paraId="77444ADA">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5）病区门禁分机：设备稳定运行、确保通话清晰、维持门禁控制功能正常。</w:t>
            </w:r>
          </w:p>
          <w:p w14:paraId="11FEE2F1">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6）卫生间分机：拉绳灵活，按键回弹正常，无卡键问题。</w:t>
            </w:r>
          </w:p>
          <w:p w14:paraId="0A94D158">
            <w:pPr>
              <w:numPr>
                <w:ilvl w:val="0"/>
                <w:numId w:val="0"/>
              </w:numPr>
              <w:ind w:firstLine="600" w:firstLineChars="200"/>
              <w:rPr>
                <w:rFonts w:hint="eastAsia" w:ascii="宋体" w:hAnsi="宋体" w:eastAsia="宋体" w:cs="宋体"/>
                <w:color w:val="000000"/>
                <w:sz w:val="30"/>
                <w:szCs w:val="30"/>
              </w:rPr>
            </w:pPr>
            <w:r>
              <w:rPr>
                <w:rFonts w:hint="eastAsia" w:ascii="宋体" w:hAnsi="宋体" w:eastAsia="宋体" w:cs="宋体"/>
                <w:color w:val="000000"/>
                <w:sz w:val="30"/>
                <w:szCs w:val="30"/>
              </w:rPr>
              <w:t>7）线路:无断、短路情况。</w:t>
            </w:r>
          </w:p>
        </w:tc>
      </w:tr>
      <w:tr w14:paraId="6B9C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2928" w:type="dxa"/>
            <w:vAlign w:val="center"/>
          </w:tcPr>
          <w:p w14:paraId="66D27D4B">
            <w:pPr>
              <w:spacing w:line="360" w:lineRule="exact"/>
              <w:jc w:val="center"/>
              <w:rPr>
                <w:rFonts w:hint="eastAsia" w:ascii="宋体" w:hAnsi="宋体" w:eastAsia="宋体" w:cs="宋体"/>
                <w:color w:val="000000"/>
                <w:sz w:val="30"/>
                <w:szCs w:val="30"/>
              </w:rPr>
            </w:pPr>
            <w:r>
              <w:rPr>
                <w:rFonts w:hint="eastAsia" w:ascii="宋体" w:hAnsi="宋体" w:eastAsia="宋体" w:cs="宋体"/>
                <w:color w:val="000000"/>
                <w:sz w:val="30"/>
                <w:szCs w:val="30"/>
              </w:rPr>
              <w:t>使用科室</w:t>
            </w:r>
            <w:r>
              <w:rPr>
                <w:rFonts w:hint="eastAsia" w:ascii="宋体" w:hAnsi="宋体" w:eastAsia="宋体" w:cs="宋体"/>
                <w:color w:val="000000"/>
                <w:sz w:val="30"/>
                <w:szCs w:val="30"/>
              </w:rPr>
              <w:br w:type="textWrapping"/>
            </w:r>
            <w:r>
              <w:rPr>
                <w:rFonts w:hint="eastAsia" w:ascii="宋体" w:hAnsi="宋体" w:eastAsia="宋体" w:cs="宋体"/>
                <w:color w:val="000000"/>
                <w:sz w:val="30"/>
                <w:szCs w:val="30"/>
              </w:rPr>
              <w:t>制定参数并集体确认</w:t>
            </w:r>
          </w:p>
        </w:tc>
        <w:tc>
          <w:tcPr>
            <w:tcW w:w="7661" w:type="dxa"/>
            <w:vAlign w:val="center"/>
          </w:tcPr>
          <w:p w14:paraId="341D85A2">
            <w:pPr>
              <w:jc w:val="center"/>
              <w:rPr>
                <w:rFonts w:hint="eastAsia" w:ascii="宋体" w:hAnsi="宋体" w:eastAsia="宋体" w:cs="宋体"/>
                <w:color w:val="000000"/>
                <w:sz w:val="30"/>
                <w:szCs w:val="30"/>
              </w:rPr>
            </w:pPr>
          </w:p>
        </w:tc>
      </w:tr>
      <w:tr w14:paraId="1333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928" w:type="dxa"/>
            <w:vAlign w:val="center"/>
          </w:tcPr>
          <w:p w14:paraId="6752F80E">
            <w:pPr>
              <w:spacing w:line="360" w:lineRule="exact"/>
              <w:jc w:val="center"/>
              <w:rPr>
                <w:rFonts w:hint="eastAsia" w:ascii="宋体" w:hAnsi="宋体" w:eastAsia="宋体" w:cs="宋体"/>
                <w:color w:val="000000"/>
                <w:sz w:val="30"/>
                <w:szCs w:val="30"/>
              </w:rPr>
            </w:pPr>
            <w:r>
              <w:rPr>
                <w:rFonts w:hint="eastAsia" w:ascii="宋体" w:hAnsi="宋体" w:eastAsia="宋体" w:cs="宋体"/>
                <w:color w:val="000000"/>
                <w:sz w:val="30"/>
                <w:szCs w:val="30"/>
              </w:rPr>
              <w:t>信息工程师审核</w:t>
            </w:r>
          </w:p>
        </w:tc>
        <w:tc>
          <w:tcPr>
            <w:tcW w:w="7661" w:type="dxa"/>
            <w:vAlign w:val="center"/>
          </w:tcPr>
          <w:p w14:paraId="75031B1B">
            <w:pPr>
              <w:jc w:val="center"/>
              <w:rPr>
                <w:rFonts w:hint="eastAsia" w:ascii="宋体" w:hAnsi="宋体" w:eastAsia="宋体" w:cs="宋体"/>
                <w:color w:val="000000"/>
                <w:sz w:val="30"/>
                <w:szCs w:val="30"/>
              </w:rPr>
            </w:pPr>
          </w:p>
        </w:tc>
      </w:tr>
      <w:tr w14:paraId="6198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2928" w:type="dxa"/>
            <w:vAlign w:val="center"/>
          </w:tcPr>
          <w:p w14:paraId="4785727D">
            <w:pPr>
              <w:jc w:val="center"/>
              <w:rPr>
                <w:rFonts w:hint="eastAsia" w:ascii="宋体" w:hAnsi="宋体" w:eastAsia="宋体" w:cs="宋体"/>
                <w:color w:val="000000"/>
                <w:sz w:val="30"/>
                <w:szCs w:val="30"/>
              </w:rPr>
            </w:pPr>
            <w:r>
              <w:rPr>
                <w:rFonts w:hint="eastAsia" w:ascii="宋体" w:hAnsi="宋体" w:eastAsia="宋体" w:cs="宋体"/>
                <w:color w:val="000000"/>
                <w:sz w:val="30"/>
                <w:szCs w:val="30"/>
              </w:rPr>
              <w:t>信息管理处</w:t>
            </w:r>
          </w:p>
        </w:tc>
        <w:tc>
          <w:tcPr>
            <w:tcW w:w="7661" w:type="dxa"/>
            <w:vAlign w:val="center"/>
          </w:tcPr>
          <w:p w14:paraId="658605C4">
            <w:pPr>
              <w:jc w:val="center"/>
              <w:rPr>
                <w:rFonts w:hint="eastAsia" w:ascii="宋体" w:hAnsi="宋体" w:eastAsia="宋体" w:cs="宋体"/>
                <w:color w:val="000000"/>
                <w:sz w:val="30"/>
                <w:szCs w:val="30"/>
              </w:rPr>
            </w:pPr>
          </w:p>
        </w:tc>
      </w:tr>
    </w:tbl>
    <w:p w14:paraId="7968DEB9">
      <w:pPr>
        <w:jc w:val="center"/>
        <w:rPr>
          <w:rFonts w:hint="eastAsia" w:ascii="黑体" w:hAnsi="黑体" w:eastAsia="黑体" w:cs="黑体"/>
          <w:color w:val="000000"/>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4B4F15"/>
    <w:rsid w:val="00310296"/>
    <w:rsid w:val="003A088B"/>
    <w:rsid w:val="003B72C8"/>
    <w:rsid w:val="004779E3"/>
    <w:rsid w:val="00573845"/>
    <w:rsid w:val="00817641"/>
    <w:rsid w:val="00872E74"/>
    <w:rsid w:val="0FFC317F"/>
    <w:rsid w:val="12EF7040"/>
    <w:rsid w:val="15EE6E8C"/>
    <w:rsid w:val="209F6013"/>
    <w:rsid w:val="344B4F15"/>
    <w:rsid w:val="36604B7C"/>
    <w:rsid w:val="41785088"/>
    <w:rsid w:val="54A52102"/>
    <w:rsid w:val="5C23789C"/>
    <w:rsid w:val="64357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rFonts w:ascii="Times New Roman" w:hAnsi="Times New Roman" w:eastAsia="仿宋_GB2312" w:cs="Times New Roman"/>
      <w:kern w:val="2"/>
      <w:sz w:val="18"/>
      <w:szCs w:val="18"/>
    </w:rPr>
  </w:style>
  <w:style w:type="character" w:customStyle="1" w:styleId="8">
    <w:name w:val="页脚 字符"/>
    <w:basedOn w:val="6"/>
    <w:link w:val="2"/>
    <w:qFormat/>
    <w:uiPriority w:val="0"/>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1718</Words>
  <Characters>1802</Characters>
  <Lines>53</Lines>
  <Paragraphs>57</Paragraphs>
  <TotalTime>0</TotalTime>
  <ScaleCrop>false</ScaleCrop>
  <LinksUpToDate>false</LinksUpToDate>
  <CharactersWithSpaces>1805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2026-02-25T03:34:00Z</dcterms:created>
  <dc:creator>潘林</dc:creator>
  <cp:lastModifiedBy>潘林</cp:lastModifiedBy>
  <cp:lastPrinted>2026-04-17T04:10:00Z</cp:lastPrinted>
  <dcterms:modified xsi:type="dcterms:W3CDTF">2026-10-20T07:04:40Z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F136902D208A4E4D9084D18538CF6A8A_13</vt:lpwstr>
  </property>
  <property fmtid="{D5CDD505-2E9C-101B-9397-08002B2CF9AE}" pid="4" name="KSOTemplateDocerSaveRecord">
    <vt:lpwstr>eyJoZGlkIjoiZjdmODllMjU1NzI3NmRiNjYzZDU4MTNjYTliYmJiOTciLCJ1c2VySWQiOiIxNjQwMDcwMjg4In0=</vt:lpwstr>
  </property>
</Properties>
</file>