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BBBC6">
      <w:pPr>
        <w:jc w:val="center"/>
        <w:rPr>
          <w:rFonts w:hint="default" w:ascii="黑体" w:hAnsi="黑体" w:eastAsia="黑体" w:cs="黑体"/>
          <w:color w:val="00000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44"/>
          <w:szCs w:val="44"/>
          <w:lang w:val="en-US" w:eastAsia="zh-CN"/>
        </w:rPr>
        <w:t>项目需求表</w:t>
      </w:r>
    </w:p>
    <w:tbl>
      <w:tblPr>
        <w:tblStyle w:val="8"/>
        <w:tblW w:w="82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6442"/>
      </w:tblGrid>
      <w:tr w14:paraId="25370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  <w:jc w:val="center"/>
        </w:trPr>
        <w:tc>
          <w:tcPr>
            <w:tcW w:w="1803" w:type="dxa"/>
            <w:noWrap w:val="0"/>
            <w:vAlign w:val="center"/>
          </w:tcPr>
          <w:p w14:paraId="46D65039">
            <w:pPr>
              <w:jc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442" w:type="dxa"/>
            <w:noWrap w:val="0"/>
            <w:vAlign w:val="center"/>
          </w:tcPr>
          <w:p w14:paraId="1AE2F508">
            <w:pPr>
              <w:jc w:val="center"/>
              <w:rPr>
                <w:rFonts w:hint="default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color w:val="000000"/>
                <w:sz w:val="30"/>
                <w:szCs w:val="30"/>
                <w:vertAlign w:val="baseline"/>
                <w:lang w:val="en-US" w:eastAsia="zh-CN"/>
              </w:rPr>
              <w:t>防火墙</w:t>
            </w:r>
          </w:p>
        </w:tc>
      </w:tr>
      <w:tr w14:paraId="770A2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3" w:hRule="atLeast"/>
          <w:jc w:val="center"/>
        </w:trPr>
        <w:tc>
          <w:tcPr>
            <w:tcW w:w="8245" w:type="dxa"/>
            <w:gridSpan w:val="2"/>
            <w:noWrap w:val="0"/>
            <w:vAlign w:val="top"/>
          </w:tcPr>
          <w:p w14:paraId="08154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需要采购2台下一代防火墙，具体要求如下：</w:t>
            </w:r>
          </w:p>
          <w:p w14:paraId="6A148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(1)标准机架式设备，多核并行架构，网络层吞吐量≥15G，IPS吞吐量≥2.2G，吞吐量≥2.5G，每秒新建连接数12万， 配置≥6个千兆自适应电口，2个SFP千兆光口，支持≥1个扩展槽，≥1个Console口，支持液晶屏显示设备运行状态，为满足大数据量场景下的高吞吐要求，需支持MTU≥9000byte的巨型帧通过设备传输时不分段；提供3年IPS特征库升级和3年AV防病毒特征库升级服务；</w:t>
            </w:r>
          </w:p>
          <w:p w14:paraId="6816E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(2)具备策略路由能力，支持基于策略的路由负载，支持根据应用和服务进行智能选路，支持源地址目的地址哈希、源地址哈希、轮询、时延负载、备份、随机、流量均衡、源地址轮询、目的地址哈希、最优链路带宽负载、最优链路带宽备份、跳数负载等不少于12种路由负载均衡方式；</w:t>
            </w:r>
          </w:p>
          <w:p w14:paraId="376E8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(3)支持针对MPLS流量的安全审查，包括漏洞防护、反病毒、防间谍软件、内容过滤、URL过滤、联动终端管控等安全防护功能；</w:t>
            </w:r>
          </w:p>
          <w:p w14:paraId="6FCB0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(4)支持DS-Lite CPE B4功能，支持成为b4或aftr角色，支持自动方式或手动方式获取AFTR参数；</w:t>
            </w:r>
          </w:p>
          <w:p w14:paraId="264D8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(5)支持通过映射VLAN ID、VNI（VXLAN Network Identifier）、对端VTEP，手动管理VxLan网络；支持MAC、VNI、对端VTEP绑定；</w:t>
            </w:r>
          </w:p>
          <w:p w14:paraId="5E2EF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(6)支持IPv6 RA管控策略，能够基于源MAC、SSLMAC、前缀以及M、O标记实现管控；</w:t>
            </w:r>
          </w:p>
          <w:p w14:paraId="73D3D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(7)支持与院内现有的NGSOC平台协同联动处置，上报网络活动产生的数据至NGSOC平台；并支持接收来自NGSOC平台推送的处置策略，形成自动封堵策略，提升网络安全协同防御水平，可实现包括：阻断指定外部IP对内部的访问；审计内部对指定域名的访问；阻断内部对指定域名的访问；阻断内部对指定URL的访问；审计内部对指定URL的访问；阻断外部对指定内部IP端口的访问等操作；</w:t>
            </w:r>
          </w:p>
          <w:p w14:paraId="5E631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(8)支持基于国家/地区的策略路由，支持策略路由可以匹配目的区域正常进行路由转发数据；</w:t>
            </w:r>
          </w:p>
          <w:p w14:paraId="6FD8D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(9)支持基于长连接的防火墙安全策略，支持安全策略根据勾选“启用长连接”的选项，控制对应的基本协议通信老化时间；并支持日志功能；</w:t>
            </w:r>
          </w:p>
          <w:p w14:paraId="10666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(10)支持协同联动院内现有的终端安全管理系统，实现基于终端健康状态的访问控制；并支持阻断“高风险”终端网络活动的同时，提示被阻断原因及重定向自定义网址；</w:t>
            </w:r>
          </w:p>
          <w:p w14:paraId="022AD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(11)为保持产品高性能高可用性，设备须采用多核硬件架构和64位多核并行安全操作系统, 具有高性能一体化智能安全处理引擎；</w:t>
            </w:r>
          </w:p>
          <w:p w14:paraId="1A4A7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(12)支持基于目的地址和服务分析，通过编辑安全策略推荐任务；查看到的学习结果包含源地址，目的地址，协议号和端口等信息；下发的推荐策略全部位于被分析策略的上方，且包含精细化的源目的地址对象和服务对象，有预期结果；</w:t>
            </w:r>
          </w:p>
          <w:p w14:paraId="6B365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(13)支持Flood攻击防护，支持对SYN Flood、UDP Flood、ICMP Flood、IP Flood、Frag Flood、DNS Request Flood、DNS reply Flood、HTTP Flood,HTTPS Flood,NTP Request Flood, NTP Reply Flood和SIP Flood攻击进行防护，并产生威胁日志；</w:t>
            </w:r>
          </w:p>
          <w:p w14:paraId="78D31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(14)支持基于不同安全区域防御DNS Request Flood、DNS Reply Flood、NTP Request Flood、SIP Flood、HTTP Flood攻击，并支持警告、丢弃、普通防护、增强防护、授权服务器防护等多种不同防护措施；</w:t>
            </w:r>
          </w:p>
          <w:p w14:paraId="2B507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(15)支持业务接口下Netflow功能，能够通过Netflow实现对网络进行监控，可支持Netflow数据外发。</w:t>
            </w:r>
          </w:p>
          <w:p w14:paraId="6F77F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(16)支持SYN Cookie攻击防护，支持收到客户端的SYN包后，并没有立即进行转发，而是冒充服务器端回SYN+ACK包，在确认收到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客户端的ACK后，才转发客户端的包；</w:t>
            </w:r>
          </w:p>
          <w:p w14:paraId="25E93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(17)支持通过802.3ad协议、手工、热备等方式将多个物理口绑定为一个逻辑接口，实现接口级的冗余，并可根据：源目的MAC组合、MAC和IP组合或TCP/UDP端口组合等方式实现负载和备份</w:t>
            </w:r>
          </w:p>
          <w:p w14:paraId="02E0C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(18)支持透明主主模式，支持两台防火墙设备工作在透明主主模式，两台设备同时各负责一部分业务转发实现负载均衡，并通过心跳线进行通讯，在一台设备失效时承担起全部业务转发。</w:t>
            </w:r>
          </w:p>
        </w:tc>
      </w:tr>
      <w:tr w14:paraId="70FAC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  <w:jc w:val="center"/>
        </w:trPr>
        <w:tc>
          <w:tcPr>
            <w:tcW w:w="1803" w:type="dxa"/>
            <w:noWrap w:val="0"/>
            <w:vAlign w:val="center"/>
          </w:tcPr>
          <w:p w14:paraId="74FE6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  <w:t>使用科室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  <w:t>制定需求并集体确认</w:t>
            </w:r>
          </w:p>
        </w:tc>
        <w:tc>
          <w:tcPr>
            <w:tcW w:w="6442" w:type="dxa"/>
            <w:noWrap w:val="0"/>
            <w:vAlign w:val="center"/>
          </w:tcPr>
          <w:p w14:paraId="3DBA6A68">
            <w:pPr>
              <w:jc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52E12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1803" w:type="dxa"/>
            <w:noWrap w:val="0"/>
            <w:vAlign w:val="center"/>
          </w:tcPr>
          <w:p w14:paraId="007E9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  <w:t>信息工程师审核</w:t>
            </w:r>
          </w:p>
        </w:tc>
        <w:tc>
          <w:tcPr>
            <w:tcW w:w="6442" w:type="dxa"/>
            <w:noWrap w:val="0"/>
            <w:vAlign w:val="center"/>
          </w:tcPr>
          <w:p w14:paraId="13A12F25">
            <w:pPr>
              <w:jc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 w14:paraId="4C18BE1C">
      <w:pPr>
        <w:spacing w:line="240" w:lineRule="auto"/>
        <w:rPr>
          <w:rFonts w:hint="eastAsia" w:ascii="黑体" w:hAnsi="黑体" w:eastAsia="黑体" w:cs="黑体"/>
          <w:color w:val="000000"/>
          <w:kern w:val="0"/>
          <w:szCs w:val="32"/>
          <w:lang w:val="en-US" w:eastAsia="zh-CN"/>
        </w:rPr>
      </w:pPr>
    </w:p>
    <w:p w14:paraId="2D26FE3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B966CA"/>
    <w:rsid w:val="1ADF059A"/>
    <w:rsid w:val="36674D51"/>
    <w:rsid w:val="4FEB61B3"/>
    <w:rsid w:val="5A03424C"/>
    <w:rsid w:val="6DB9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E54A1" w:themeColor="accent1" w:themeShade="BF"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99"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styleId="5">
    <w:name w:val="Normal (Web)"/>
    <w:basedOn w:val="1"/>
    <w:next w:val="6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6">
    <w:name w:val="样式 标题 3 + (中文) 黑体 小四 非加粗 段前: 7.8 磅 段后: 0 磅 行距: 固定值 20 磅"/>
    <w:basedOn w:val="4"/>
    <w:qFormat/>
    <w:uiPriority w:val="0"/>
    <w:pPr>
      <w:spacing w:before="0" w:after="0" w:line="400" w:lineRule="exact"/>
    </w:pPr>
    <w:rPr>
      <w:rFonts w:ascii="Times New Roman" w:hAnsi="Times New Roman" w:eastAsia="黑体" w:cs="宋体"/>
      <w:kern w:val="2"/>
      <w:sz w:val="24"/>
      <w:szCs w:val="20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319</Words>
  <Characters>345</Characters>
  <Lines>0</Lines>
  <Paragraphs>0</Paragraphs>
  <TotalTime>22</TotalTime>
  <ScaleCrop>false</ScaleCrop>
  <LinksUpToDate>false</LinksUpToDate>
  <CharactersWithSpaces>346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2026-09-02T01:37:00Z</dcterms:created>
  <dc:creator>吴灵菲</dc:creator>
  <cp:lastModifiedBy>吴灵菲</cp:lastModifiedBy>
  <cp:lastPrinted>2026-09-07T00:34:00Z</cp:lastPrinted>
  <dcterms:modified xsi:type="dcterms:W3CDTF">2026-10-22T03:41:43Z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89DA2C1B94134670B4FA760C2B04B5C2_13</vt:lpwstr>
  </property>
  <property fmtid="{D5CDD505-2E9C-101B-9397-08002B2CF9AE}" pid="4" name="KSOTemplateDocerSaveRecord">
    <vt:lpwstr>eyJoZGlkIjoiOWUyMjY1MmVhNGI1NWIxOTI3ZjU3ZTgzNmRkNmUzM2QiLCJ1c2VySWQiOiIxNTY5NDkxMTQzIn0=</vt:lpwstr>
  </property>
</Properties>
</file>